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+0.15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-39.89 kcal/mol across pristine and B/P substituted templates at a standardized initial stacking separation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using each lead's real RDKit-derived descriptors (MAE = 3.06 kcal/mol, RMSE = 4.22 kcal/mol; Belumosudil: error +1.11 kcal/mol; Pimicotinib: error +1.66 kcal/mol; Futibatinib: error +0.37 kcal/mol (hi = 1.228, outside the applicability domain); Avapritinib: error -3.70 kcal/mol (hi = 0.685, outside the applicability domain); Capivasertib: error +8.44 kcal/mol), yielding favorable predicted Switch II pocket compatibility (-7.58 to -9.43 kcal/mol; Ligand Efficiency 0.253 to 0.314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Graphitic Carbon Nitride; QSPR Surrogate Modeling; GFN2-xTB Quantum Chemistry;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0.262</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0.246</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all 33 of 33 training compounds fell within the +/-3sigma standardized residual boundary; against the separate warning leverage limit h* = 0.455, 32 of 33 compounds (97.0%) fell inside the domain, with only Methotrexate (hi = 0.481) exceeding it. Cobimetinib (hi = 0.155) and Paclitaxel (hi = 0.234)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3.06 kcal/mol, RMSE = 4.22 kcal/mol across five prioritized leads; two of five fall outside the applicability domain, see Table 2).</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using each lead's own real RDKit-derived molecular weight and polar surface area (recomputed from its canonical SMILES) as descriptor inputs. Individual hat-matrix leverage values showed that three of five leads fell well within the applicability domain (Belumosudil hi = 0.020, Pimicotinib hi = 0.059, Capivasertib hi = 0.237; all &lt; h* = 0.455), while two -- Avapritinib (hi = 0.685) and Futibatinib (hi = 1.228) -- fell outside it, indicating the QSPR surrogate extrapolates for these two larger/more polar leads and their quantum-confirmation errors should be read with that caveat. Prospective quantum recalculations showed informative predictive performance overall (MAE = 3.06 kcal/mol, RMSE = 4.22 kcal/mol), with close agreement for three of five prioritized leads and larger deviations for Capivasertib and Avapritinib (Futibatinib: QSPR -16.02 vs QM -16.39 kcal/mol, error = +0.37 kcal/mol; Belumosudil: QSPR -16.25 vs QM -17.36 kcal/mol, error = +1.11 kcal/mol; Pimicotinib: QSPR -13.33 vs QM -14.99 kcal/mol, error = +1.66 kcal/mol; Avapritinib: QSPR -16.83 vs QM -13.13 kcal/mol, error = -3.70 kcal/mol; Capivasertib: QSPR -12.99 vs QM -21.43 kcal/mol, error = +8.44 kcal/mol). All leads demonstrated favorable predicted Switch II pocket compatibility (-7.58 to -9.43 kcal/mol) with size-normalized Ligand Efficiency (LE = 0.253 to 0.314 kcal/mol/atom, recomputed from each lead's real heavy-atom count).</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-16.83</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-3.70</w:t>
            </w:r>
          </w:p>
        </w:tc>
        <w:tc>
          <w:tcPr>
            <w:tcW w:type="dxa" w:w="1337"/>
            <w:tcMar>
              <w:top w:w="35" w:type="dxa"/>
              <w:bottom w:w="35" w:type="dxa"/>
              <w:left w:w="50" w:type="dxa"/>
              <w:right w:w="50" w:type="dxa"/>
            </w:tcMar>
          </w:tcPr>
          <w:p>
            <w:r>
              <w:rPr>
                <w:sz w:val="16"/>
              </w:rPr>
              <w:t>0.685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0.314</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1.228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0.274</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-16.25</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0.020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0.281</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-12.99</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+8.44</w:t>
            </w:r>
          </w:p>
        </w:tc>
        <w:tc>
          <w:tcPr>
            <w:tcW w:type="dxa" w:w="1337"/>
            <w:tcMar>
              <w:top w:w="35" w:type="dxa"/>
              <w:bottom w:w="35" w:type="dxa"/>
              <w:left w:w="50" w:type="dxa"/>
              <w:right w:w="50" w:type="dxa"/>
            </w:tcMar>
          </w:tcPr>
          <w:p>
            <w:r>
              <w:rPr>
                <w:sz w:val="16"/>
              </w:rPr>
              <w:t>0.237 (IN)</w:t>
            </w:r>
          </w:p>
        </w:tc>
        <w:tc>
          <w:tcPr>
            <w:tcW w:type="dxa" w:w="1337"/>
            <w:tcMar>
              <w:top w:w="35" w:type="dxa"/>
              <w:bottom w:w="35" w:type="dxa"/>
              <w:left w:w="50" w:type="dxa"/>
              <w:right w:w="50" w:type="dxa"/>
            </w:tcMar>
          </w:tcPr>
          <w:p>
            <w:r>
              <w:rPr>
                <w:sz w:val="16"/>
              </w:rPr>
              <w:t>-7.58</w:t>
            </w:r>
          </w:p>
        </w:tc>
        <w:tc>
          <w:tcPr>
            <w:tcW w:type="dxa" w:w="1337"/>
            <w:tcMar>
              <w:top w:w="35" w:type="dxa"/>
              <w:bottom w:w="35" w:type="dxa"/>
              <w:left w:w="50" w:type="dxa"/>
              <w:right w:w="50" w:type="dxa"/>
            </w:tcMar>
          </w:tcPr>
          <w:p>
            <w:r>
              <w:rPr>
                <w:sz w:val="16"/>
              </w:rPr>
              <w:t>0.253</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-13.33</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+1.66</w:t>
            </w:r>
          </w:p>
        </w:tc>
        <w:tc>
          <w:tcPr>
            <w:tcW w:type="dxa" w:w="1337"/>
            <w:tcMar>
              <w:top w:w="35" w:type="dxa"/>
              <w:bottom w:w="35" w:type="dxa"/>
              <w:left w:w="50" w:type="dxa"/>
              <w:right w:w="50" w:type="dxa"/>
            </w:tcMar>
          </w:tcPr>
          <w:p>
            <w:r>
              <w:rPr>
                <w:sz w:val="16"/>
              </w:rPr>
              <w:t>0.059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0.306</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+0.15 e, vs. +0.19 e on the pristine carrier).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+0.15 e for MRTX1133, vs. +0.19 e on the pristine carrier)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3.06 kcal/mol) and favorable predicted Switch II pocket compatibility (LE = 0.253 to 0.314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(latest release)</w:t>
        <w:br/>
        <w:t>• Permanent Archival DOI: Zenodo Repository DOI: 10.5281/zenodo.22187819 (concept DOI, always resolves to the latest archived version)</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