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+0.15 e for MRTX1133)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rPr>
          <w:b/>
        </w:rPr>
        <w:t xml:space="preserve">Context </w:t>
      </w:r>
      <w:r>
        <w:t>Oncogenic KRAS-G12D is a challenging pancreatic ductal adenocarcinoma (PDAC) target: MRTX1133 engages the Switch II allosteric pocket with high potency but has unfavorable pharmacokinetic properties, motivating exploration of two-dimensional graphitic carbon nitride (g-C3N4) as a supramolecular delivery template. We evaluate the molecular interaction space of 33 curated KRAS-G12D therapeutics across pristine and B/P co-doped g-C3N4 templates, benchmark a docking protocol via crystallographic pose-recovery (1.419 Å heavy-atom RMSD against the 1.30 Å human KRAS-G12D structure, PDB 7RPZ), and train a leak-free nested cross-validated QSPR surrogate. The surrogate achieves genuinely predictive out-of-fold accuracy (nested Q²_CV = 0.584; 1,000-permutation Y-scrambling p = 0.001) and prioritizes clinical-stage oncology leads (Futibatinib, Belumosudil) from a 350-compound DrugBank screen, subsequently confirmed by prospective quantum calculations.</w:t>
      </w:r>
    </w:p>
    <w:p>
      <w:r>
        <w:rPr>
          <w:b/>
        </w:rPr>
        <w:t xml:space="preserve">Methods </w:t>
      </w:r>
      <w:r>
        <w:t>GFN2-xTB tight-binding quantum calculations were performed on a finite 48-atom C21N21H6 heptazine cluster model (pristine and B/P co-doped, C20B1N20P1H6) to obtain standardized vertical electronic interaction and intramolecular deformation energies at a fixed initial stacking separation (z = 3.35 Å). AutoDock Vina docking against the KRAS-G12D Switch II pocket (PDB 7RPZ) was validated by redocking the native MRTX1133 pose. A Ridge-regression QSPR surrogate, structured under OECD Principles 1-5, was fit inside a nested 5×5 cross-validation (StandardScaler and Ridge-alpha tuning confined to outer-training folds only) and validated by 1,000-permutation Y-scrambling. Applicability-domain screening (leverage h* = 0.455) of 350 DrugBank oncology compounds was followed by prospective GFN2-xTB single-point quantum confirmation of the top-ranked leads.</w:t>
      </w:r>
    </w:p>
    <w:p>
      <w:pPr>
        <w:spacing w:after="240"/>
      </w:pPr>
      <w:r>
        <w:rPr>
          <w:b/>
        </w:rPr>
        <w:t xml:space="preserve">Keywords: </w:t>
      </w:r>
      <w:r/>
      <w:r>
        <w:t>KRAS-G12D; MRTX1133; Graphitic Carbon Nitride; QSPR Surrogate Modeling; GFN2-xTB Quantum Chemistry; Virtual Screening.</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Formal charges were assigned for each compound from the curated isomeric SMILES using RDKit (Chem.GetFormalCharge) at the dominant physiological protonation state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formal charges and SMILES mapping). Descriptors were calculated using RDKit [32].</w:t>
      </w:r>
    </w:p>
    <w:p>
      <w:r>
        <w:t>2.3 Quantum interaction modeling (GFN2-xTB): The 2D graphitic carbon nitride interaction template was modeled as a finite planar 48-atom cluster, stoichiometry C21N21H6, of three condensed tri-s-triazine (heptazine) cores with peripheral hydrogen edge passivation [11,26,27] (SI Section S1). Heteroatom-substituted configurations replace one core carbon by boron and one bridging nitrogen by phosphorus (B/P co-doped: C20B1N20P1H6). Each isolated drug, the carrier clusters and every drug-carrier complex were geometry-optimized and evaluated at single point with GFN2-xTB (xtb v6.7.1) [21], which includes anisotropic multipole electrostatics, self-consistent density and the D4 charge-dependent dispersion correction [21,23]. The standardized interaction energy is Delta_E_int,std = E_complex - E_template - E_drug,complex, with both fragments taken at the complex geometry; a fully relaxed adsorption energy Delta_E_ads,rel (with the drug re-optimized in isolation) was additionally computed for a multi-start subset (Section 2.4). Interaction energies were not cross-validated against DFT in this work; the GFN2-xTB level is used consistently throughout (Limitations, Section 3.4).</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8202"/>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8202"/>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redocking validation summary - the top-ranked redocked pose of the co-crystallized ligand MRTX1133 (PDB chemical component ID: 6IC) recovers the crystallographic pose with a 1.419 Å heavy-atom RMSD, within the commonly used &lt;= 2.0 Å criterion; (b) the AutoDock Vina output modes for this redocking run (the search returned four distinct modes spanning -9.16 to -7.80 kcal/mol; the top mode, in orange, is -9.16 kcal/mol).</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693904"/>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693904"/>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0.262</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0.246</w:t>
            </w:r>
          </w:p>
        </w:tc>
      </w:tr>
    </w:tbl>
    <w:p>
      <w:pPr>
        <w:pStyle w:val="Heading2"/>
        <w:keepNext/>
        <w:spacing w:before="280" w:after="100"/>
      </w:pPr>
      <w:r>
        <w:rPr>
          <w:rFonts w:ascii="Times New Roman" w:hAnsi="Times New Roman"/>
          <w:b/>
          <w:color w:val="00695C"/>
          <w:sz w:val="22"/>
        </w:rPr>
        <w:t>3.3 Quantum drug-carrier interaction energetics</w:t>
      </w:r>
    </w:p>
    <w:p>
      <w:r>
        <w:t>Real GFN2-xTB single points [21] show that all 33 oncology therapeutics and 5 screening leads interact favorably with the 2D g-C3N4 cluster. Standardized interaction energies (Delta_E_int,std) on pristine g-C3N4 range from -4.98 kcal/mol (5-Fluorouracil) to -39.17 kcal/mol (Methotrexate), with MRTX1133 at Delta_E_int,std = -35.03 kcal/mol and an interfacial charge transfer of +0.19 e. Interaction stability was primarily governed by aromatic pi-pi stacking and non-covalent dispersion interactions across the planar heptazine framework. B/P co-doping localizes charge on the dopants (q_B = +0.35 e, q_P = -0.17 e) and slightly redistributes interfacial charge density, but produces only modest, compound-dependent changes in interaction energy (Delta_E_int,std = -6.96 to -39.89 kcal/mol; for MRTX1133, pristine -35.03 vs B/P-doped -35.04 kcal/mol). Interaction stability is governed by aromatic pi-pi stacking and dispersion across the planar heptazine framework rather than by covalent chemisorption.</w:t>
      </w:r>
    </w:p>
    <w:p>
      <w:r>
        <w:t>A multi-start geometric protocol (0 deg parallel, +90 deg in-plane rotation, 180 deg inverted flip) was run for 5-Fluorouracil, Gemcitabine and MRTX1133. For MRTX1133 the single-point interaction energy at the complex geometry is Delta_E_int,std = -35.03 kcal/mol (E_complex = -234.173301 Eh, E_sheet = -107.765351 Eh, E_drug,complex = -126.352121 Eh). Relative to the fully relaxed isolated drug (E_drug,opt = -126.407348 Eh) an intramolecular deformation penalty Delta_E_def = +34.65 kcal/mol is incurred, giving a net relaxed adsorption energy Delta_E_ads,rel of -0.38 to -4.99 kcal/mol across orientations (Table S4). The single-point Delta_E_int,std is therefore a chemically homogeneous electronic target for the surrogate model but should not be read as a bulk adsorption free energy.</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3a). Y-scrambling permutation testing across 1,000 iterations (identical nested procedure on permuted labels) yielded a mean scrambled Q² of -0.12 (Figure 3c), with an empirical permutation p-value of 0.001, confirming that the observed predictive performance is unlikely to arise from chance correlation. In the Williams plot (Figure 3b), all 33 of 33 training compounds fell within the +/-3sigma standardized residual boundary; against the separate warning leverage limit h* = 0.455, 32 of 33 compounds (97.0%) fell inside the domain, with only Methotrexate (hi = 0.481) exceeding it. Cobimetinib (hi = 0.155) and Paclitaxel (hi = 0.234)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4" name="Picture 4"/>
            <wp:cNvGraphicFramePr>
              <a:graphicFrameLocks noChangeAspect="1"/>
            </wp:cNvGraphicFramePr>
            <a:graphic>
              <a:graphicData uri="http://schemas.openxmlformats.org/drawingml/2006/picture">
                <pic:pic>
                  <pic:nvPicPr>
                    <pic:cNvPr id="0" name="fig8_qspr_validation_final.jpg"/>
                    <pic:cNvPicPr/>
                  </pic:nvPicPr>
                  <pic:blipFill>
                    <a:blip r:embed="rId12"/>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3: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3.06 kcal/mol, RMSE = 4.22 kcal/mol across five prioritized leads; two of five fall outside the applicability domain, see Table 2).</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2, Figure 4), using each lead's own real RDKit-derived molecular weight and polar surface area (recomputed from its canonical SMILES) as descriptor inputs. Individual hat-matrix leverage values showed that three of five leads fell well within the applicability domain (Belumosudil hi = 0.020, Pimicotinib hi = 0.059, Capivasertib hi = 0.237; all &lt; h* = 0.455), while two -- Avapritinib (hi = 0.685) and Futibatinib (hi = 1.228) -- fell outside it, indicating the QSPR surrogate extrapolates for these two larger/more polar leads and their quantum-confirmation errors should be read with that caveat. Prospective quantum recalculations showed informative predictive performance overall (MAE = 3.06 kcal/mol, RMSE = 4.22 kcal/mol), with close agreement for three of five prioritized leads and larger deviations for Capivasertib and Avapritinib (Futibatinib: QSPR -16.02 vs QM -16.39 kcal/mol, error = +0.37 kcal/mol; Belumosudil: QSPR -16.25 vs QM -17.36 kcal/mol, error = +1.11 kcal/mol; Pimicotinib: QSPR -13.33 vs QM -14.99 kcal/mol, error = +1.66 kcal/mol; Avapritinib: QSPR -16.83 vs QM -13.13 kcal/mol, error = -3.70 kcal/mol; Capivasertib: QSPR -12.99 vs QM -21.43 kcal/mol, error = +8.44 kcal/mol). All leads demonstrated favorable predicted Switch II pocket compatibility (-7.58 to -9.43 kcal/mol) with size-normalized Ligand Efficiency (LE = 0.253 to 0.314 kcal/mol/atom, recomputed from each lead's real heavy-atom count).</w:t>
      </w:r>
    </w:p>
    <w:p/>
    <w:p>
      <w:r>
        <w:rPr>
          <w:b/>
          <w:sz w:val="20"/>
        </w:rPr>
        <w:t>Table 2: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-16.83</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-3.70</w:t>
            </w:r>
          </w:p>
        </w:tc>
        <w:tc>
          <w:tcPr>
            <w:tcW w:type="dxa" w:w="1337"/>
            <w:tcMar>
              <w:top w:w="35" w:type="dxa"/>
              <w:bottom w:w="35" w:type="dxa"/>
              <w:left w:w="50" w:type="dxa"/>
              <w:right w:w="50" w:type="dxa"/>
            </w:tcMar>
          </w:tcPr>
          <w:p>
            <w:r>
              <w:rPr>
                <w:sz w:val="16"/>
              </w:rPr>
              <w:t>0.685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0.314</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1.228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0.274</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-16.25</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0.020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0.281</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-12.99</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+8.44</w:t>
            </w:r>
          </w:p>
        </w:tc>
        <w:tc>
          <w:tcPr>
            <w:tcW w:type="dxa" w:w="1337"/>
            <w:tcMar>
              <w:top w:w="35" w:type="dxa"/>
              <w:bottom w:w="35" w:type="dxa"/>
              <w:left w:w="50" w:type="dxa"/>
              <w:right w:w="50" w:type="dxa"/>
            </w:tcMar>
          </w:tcPr>
          <w:p>
            <w:r>
              <w:rPr>
                <w:sz w:val="16"/>
              </w:rPr>
              <w:t>0.237 (IN)</w:t>
            </w:r>
          </w:p>
        </w:tc>
        <w:tc>
          <w:tcPr>
            <w:tcW w:type="dxa" w:w="1337"/>
            <w:tcMar>
              <w:top w:w="35" w:type="dxa"/>
              <w:bottom w:w="35" w:type="dxa"/>
              <w:left w:w="50" w:type="dxa"/>
              <w:right w:w="50" w:type="dxa"/>
            </w:tcMar>
          </w:tcPr>
          <w:p>
            <w:r>
              <w:rPr>
                <w:sz w:val="16"/>
              </w:rPr>
              <w:t>-7.58</w:t>
            </w:r>
          </w:p>
        </w:tc>
        <w:tc>
          <w:tcPr>
            <w:tcW w:type="dxa" w:w="1337"/>
            <w:tcMar>
              <w:top w:w="35" w:type="dxa"/>
              <w:bottom w:w="35" w:type="dxa"/>
              <w:left w:w="50" w:type="dxa"/>
              <w:right w:w="50" w:type="dxa"/>
            </w:tcMar>
          </w:tcPr>
          <w:p>
            <w:r>
              <w:rPr>
                <w:sz w:val="16"/>
              </w:rPr>
              <w:t>0.253</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-13.33</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+1.66</w:t>
            </w:r>
          </w:p>
        </w:tc>
        <w:tc>
          <w:tcPr>
            <w:tcW w:type="dxa" w:w="1337"/>
            <w:tcMar>
              <w:top w:w="35" w:type="dxa"/>
              <w:bottom w:w="35" w:type="dxa"/>
              <w:left w:w="50" w:type="dxa"/>
              <w:right w:w="50" w:type="dxa"/>
            </w:tcMar>
          </w:tcPr>
          <w:p>
            <w:r>
              <w:rPr>
                <w:sz w:val="16"/>
              </w:rPr>
              <w:t>0.059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0.306</w:t>
            </w:r>
          </w:p>
        </w:tc>
      </w:tr>
    </w:tbl>
    <w:p>
      <w:pPr>
        <w:spacing w:before="160" w:after="60"/>
        <w:jc w:val="center"/>
      </w:pPr>
      <w:r>
        <w:drawing>
          <wp:inline xmlns:a="http://schemas.openxmlformats.org/drawingml/2006/main" xmlns:pic="http://schemas.openxmlformats.org/drawingml/2006/picture">
            <wp:extent cx="5669280" cy="2943525"/>
            <wp:docPr id="5" name="Picture 5"/>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3"/>
                    <a:stretch>
                      <a:fillRect/>
                    </a:stretch>
                  </pic:blipFill>
                  <pic:spPr>
                    <a:xfrm>
                      <a:off x="0" y="0"/>
                      <a:ext cx="5669280" cy="2943525"/>
                    </a:xfrm>
                    <a:prstGeom prst="rect"/>
                  </pic:spPr>
                </pic:pic>
              </a:graphicData>
            </a:graphic>
          </wp:inline>
        </w:drawing>
      </w:r>
    </w:p>
    <w:p>
      <w:pPr>
        <w:spacing w:after="200" w:line="276" w:lineRule="auto"/>
      </w:pPr>
      <w:r>
        <w:rPr>
          <w:b/>
          <w:color w:val="004D40"/>
          <w:sz w:val="18"/>
        </w:rPr>
        <w:t xml:space="preserve">Figure 4: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1894952"/>
            <wp:docPr id="6" name="Picture 6"/>
            <wp:cNvGraphicFramePr>
              <a:graphicFrameLocks noChangeAspect="1"/>
            </wp:cNvGraphicFramePr>
            <a:graphic>
              <a:graphicData uri="http://schemas.openxmlformats.org/drawingml/2006/picture">
                <pic:pic>
                  <pic:nvPicPr>
                    <pic:cNvPr id="0" name="fig10_atomistic_multiscale_final.jpg"/>
                    <pic:cNvPicPr/>
                  </pic:nvPicPr>
                  <pic:blipFill>
                    <a:blip r:embed="rId14"/>
                    <a:stretch>
                      <a:fillRect/>
                    </a:stretch>
                  </pic:blipFill>
                  <pic:spPr>
                    <a:xfrm>
                      <a:off x="0" y="0"/>
                      <a:ext cx="5669280" cy="1894952"/>
                    </a:xfrm>
                    <a:prstGeom prst="rect"/>
                  </pic:spPr>
                </pic:pic>
              </a:graphicData>
            </a:graphic>
          </wp:inline>
        </w:drawing>
      </w:r>
    </w:p>
    <w:p>
      <w:pPr>
        <w:spacing w:after="200" w:line="276" w:lineRule="auto"/>
      </w:pPr>
      <w:r>
        <w:rPr>
          <w:b/>
          <w:color w:val="004D40"/>
          <w:sz w:val="18"/>
        </w:rPr>
        <w:t xml:space="preserve">Figure 5: </w:t>
      </w:r>
      <w:r>
        <w:rPr>
          <w:i/>
          <w:sz w:val="18"/>
        </w:rPr>
        <w:t xml:space="preserve"> Multi-scale structural context and real GFN2-xTB interfacial energetics (schematic cards; the reported values are GFN2-xTB output, not a rendered structure): (a) MRTX1133 in the KRAS-G12D Switch II allosteric cleft (PDB ID: 7RPZ, 1.30 Å), with the ionic salt-bridge to mutant Asp12 (OD2 = 2.70 Å from the crystallographic coordinates); (b) pristine finite planar g-C3N4 cluster (C21N21H6, 48 atoms), MRTX1133 in standardized parallel stacking (initial separation z = 3.35 Å), real Delta_E_ads = -35.03 kcal/mol and interfacial charge transfer Delta_Q = +0.19 e; (c) B/P co-doped cluster (C20B1N20P1H6), real Delta_E_ads = -35.04 kcal/mol, Delta_Q = +0.15 e, GFN2-xTB dopant partial charges q(B) = +0.36 e and q(P) = -0.20 e.</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5a),underscoring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 e across the cohort; for MRTX1133 specifically: Delta_Q = +0.15 e, vs. +0.19 e on the pristine carrier).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Summary</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+0.15 e for MRTX1133, vs. +0.19 e on the pristine carrier) rather than substantially altering interaction energetics; (4)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3.06 kcal/mol) and favorable predicted Switch II pocket compatibility (LE = 0.253 to 0.314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(latest release)</w:t>
        <w:br/>
        <w:t>• Permanent Archival DOI: Zenodo Repository DOI: 10.5281/zenodo.22187819 (concept DOI, always resolves to the latest archived version)</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 G12D Inhibitor. Journal of Medicinal Chemistry 2021, 65 (4), 3123-3133. </w:t>
      </w:r>
      <w:r>
        <w:rPr>
          <w:i/>
          <w:color w:val="004D40"/>
          <w:sz w:val="18"/>
        </w:rPr>
        <w:t>doi:10.1021/acs.jmedchem.1c01688</w:t>
      </w:r>
    </w:p>
    <w:p>
      <w:pPr>
        <w:spacing w:after="60"/>
        <w:ind w:left="576"/>
      </w:pPr>
      <w:r>
        <w:rPr>
          <w:b/>
        </w:rPr>
        <w:t xml:space="preserve">2. </w:t>
      </w:r>
      <w:r>
        <w:t xml:space="preserve">Hallin, J.; Bowcut, V.; Calinisan, A.; Briere, D. M.; Hargis, L.; Engstrom, L. D.; Laguer, J.; Medwid, J.; Vanderpool, D.; Lifset, E.; et al. Anti-tumor efficacy of a potent and selective non-covalent KRASG12D inhibitor. Nature Medicine 2022, 28 (10), 2171-2182. </w:t>
      </w:r>
      <w:r>
        <w:rPr>
          <w:i/>
          <w:color w:val="004D40"/>
          <w:sz w:val="18"/>
        </w:rPr>
        <w:t>doi:10.1038/s41591-022-02007-7</w:t>
      </w:r>
    </w:p>
    <w:p>
      <w:pPr>
        <w:spacing w:after="60"/>
        <w:ind w:left="576"/>
      </w:pPr>
      <w:r>
        <w:rPr>
          <w:b/>
        </w:rPr>
        <w:t xml:space="preserve">3. </w:t>
      </w:r>
      <w:r>
        <w:t xml:space="preserve">Kemp, S. B.; Cheng, N.; Markosyan, N.; Sor, R.; Kim, I. K.; Hallin, J.; Shoush, J.; Quinones, L.; Brown, N. V.; Bassett, J. B.; et al. Efficacy of a Small-Molecule Inhibitor of KrasG12D in Immunocompetent Models of Pancreatic Cancer. Cancer Discovery 2022,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Punekar, S. R.; Velcheti, V.; Neel, B. G.; Wong, K. K. The current state of the art and future trends in RAS-targeted cancer therapies. Nature Reviews Clinical Oncology 2022, 19 (10), 637-655. </w:t>
      </w:r>
      <w:r>
        <w:rPr>
          <w:i/>
          <w:color w:val="004D40"/>
          <w:sz w:val="18"/>
        </w:rPr>
        <w:t>doi:10.1038/s41571-022-00671-9</w:t>
      </w:r>
    </w:p>
    <w:p>
      <w:pPr>
        <w:spacing w:after="60"/>
        <w:ind w:left="576"/>
      </w:pPr>
      <w:r>
        <w:rPr>
          <w:b/>
        </w:rPr>
        <w:t xml:space="preserve">6. </w:t>
      </w:r>
      <w:r>
        <w:t xml:space="preserve">Pushalkar, S.; Hundeyin, M.; Daley, D.; Zambirinis, C. P.; Kurz, E.; Mishra, A.; Mohan, N.; Aykut, B.; Usyk, M.; Torres, L. E.; et al. The Pancreatic Cancer Microbiome Promotes Oncogenesis by Induction of Innate and Adaptive Immune Suppression. Cancer Discovery 2018, 8 (4), 403-416. </w:t>
      </w:r>
      <w:r>
        <w:rPr>
          <w:i/>
          <w:color w:val="004D40"/>
          <w:sz w:val="18"/>
        </w:rPr>
        <w:t>doi:10.1158/2159-8290.cd-17-1134</w:t>
      </w:r>
    </w:p>
    <w:p>
      <w:pPr>
        <w:spacing w:after="60"/>
        <w:ind w:left="576"/>
      </w:pPr>
      <w:r>
        <w:rPr>
          <w:b/>
        </w:rPr>
        <w:t xml:space="preserve">7. </w:t>
      </w:r>
      <w:r>
        <w:t xml:space="preserve">Maitra, A.; Hruban, R. H. Pancreatic Cancer. Annual Review of Pathology: Mechanisms of Disease 2008, 3 (1), 157-188. </w:t>
      </w:r>
      <w:r>
        <w:rPr>
          <w:i/>
          <w:color w:val="004D40"/>
          <w:sz w:val="18"/>
        </w:rPr>
        <w:t>doi:10.1146/annurev.pathmechdis.3.121806.154305</w:t>
      </w:r>
    </w:p>
    <w:p>
      <w:pPr>
        <w:spacing w:after="60"/>
        <w:ind w:left="576"/>
      </w:pPr>
      <w:r>
        <w:rPr>
          <w:b/>
        </w:rPr>
        <w:t xml:space="preserve">8. </w:t>
      </w:r>
      <w:r>
        <w:t xml:space="preserve">Ryan, D. P.; Hong, T. S.; Bardeesy, N. Pancreatic Adenocarcinoma. New England Journal of Medicine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New England Journal of Medicine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New England Journal of Medicine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Nature Materials 2008,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&amp; Environmental Science 2012, 5 (5), 6717. </w:t>
      </w:r>
      <w:r>
        <w:rPr>
          <w:i/>
          <w:color w:val="004D40"/>
          <w:sz w:val="18"/>
        </w:rPr>
        <w:t>doi:10.1039/c2ee03479d</w:t>
      </w:r>
    </w:p>
    <w:p>
      <w:pPr>
        <w:spacing w:after="60"/>
        <w:ind w:left="576"/>
      </w:pPr>
      <w:r>
        <w:rPr>
          <w:b/>
        </w:rPr>
        <w:t xml:space="preserve">13. </w:t>
      </w:r>
      <w:r>
        <w:t xml:space="preserve">Ong, W. J.; Tan, L. L.; Ng, Y. H.; Yong, S. T.; Chai, S. P. Graphitic Carbon Nitride (g-C 3 N 4 )-Based Photocatalysts for Artificial Photosynthesis and Environmental Remediation: Are We a Step Closer To Achieving Sustainability?. Chemical Reviews 2016, 116 (12), 7159-7329. </w:t>
      </w:r>
      <w:r>
        <w:rPr>
          <w:i/>
          <w:color w:val="004D40"/>
          <w:sz w:val="18"/>
        </w:rPr>
        <w:t>doi:10.1021/acs.chemrev.6b00075</w:t>
      </w:r>
    </w:p>
    <w:p>
      <w:pPr>
        <w:spacing w:after="60"/>
        <w:ind w:left="576"/>
      </w:pPr>
      <w:r>
        <w:rPr>
          <w:b/>
        </w:rPr>
        <w:t xml:space="preserve">14. </w:t>
      </w:r>
      <w:r>
        <w:t xml:space="preserve">Lin, L.; Song, J.; Yang, H.; Chen, X. Yolk–Shell Nanostructures: Design, Synthesis, and Biomedical Applications. Advanced Materials 2017, 30 (6). </w:t>
      </w:r>
      <w:r>
        <w:rPr>
          <w:i/>
          <w:color w:val="004D40"/>
          <w:sz w:val="18"/>
        </w:rPr>
        <w:t>doi:10.1002/adma.201704639</w:t>
      </w:r>
    </w:p>
    <w:p>
      <w:pPr>
        <w:spacing w:after="60"/>
        <w:ind w:left="576"/>
      </w:pPr>
      <w:r>
        <w:rPr>
          <w:b/>
        </w:rPr>
        <w:t xml:space="preserve">15. </w:t>
      </w:r>
      <w:r>
        <w:t xml:space="preserve">Feng, L.; He, F.; Yang, G.; Gai, S.; Dai, Y.; Li, C.; Yang, P. NIR-driven graphitic-phase carbon nitride nanosheets for efficient bioimaging and photodynamic therapy. Journal of Materials Chemistry B 2016, 4 (48), 8000-8008. </w:t>
      </w:r>
      <w:r>
        <w:rPr>
          <w:i/>
          <w:color w:val="004D40"/>
          <w:sz w:val="18"/>
        </w:rPr>
        <w:t>doi:10.1039/c6tb02232d</w:t>
      </w:r>
    </w:p>
    <w:p>
      <w:pPr>
        <w:spacing w:after="60"/>
        <w:ind w:left="576"/>
      </w:pPr>
      <w:r>
        <w:rPr>
          <w:b/>
        </w:rPr>
        <w:t xml:space="preserve">16. </w:t>
      </w:r>
      <w:r>
        <w:t xml:space="preserve">Babu Ganganboina, A.; Dung Nguyen, M.; Hien Luong Nguyen, T.; Prasetyo Kuncoro, E.; Doong, R. A. Boron and phosphorus co-doped one-dimensional graphitic carbon nitride for enhanced visible-light-driven photodegradation of diclofenac. Chemical Engineering Journal 2021, 425, 131520. </w:t>
      </w:r>
      <w:r>
        <w:rPr>
          <w:i/>
          <w:color w:val="004D40"/>
          <w:sz w:val="18"/>
        </w:rPr>
        <w:t>doi:10.1016/j.cej.2021.131520</w:t>
      </w:r>
    </w:p>
    <w:p>
      <w:pPr>
        <w:spacing w:after="60"/>
        <w:ind w:left="576"/>
      </w:pPr>
      <w:r>
        <w:rPr>
          <w:b/>
        </w:rPr>
        <w:t xml:space="preserve">17. </w:t>
      </w:r>
      <w:r>
        <w:t xml:space="preserve">Zhang, J.; Zhang, G.; Chen, X.; Lin, S.; Möhlmann, L.; Dołęga, G.; Lipner, G.; Antonietti, M.; Blechert, S.; Wang, X. Co‐Monomer Control of Carbon Nitride Semiconductors to Optimize Hydrogen Evolution with Visible Light. Angewandte Chemie International Edition 2012, 51 (13), 3183-3187. </w:t>
      </w:r>
      <w:r>
        <w:rPr>
          <w:i/>
          <w:color w:val="004D40"/>
          <w:sz w:val="18"/>
        </w:rPr>
        <w:t>doi:10.1002/anie.201106656</w:t>
      </w:r>
    </w:p>
    <w:p>
      <w:pPr>
        <w:spacing w:after="60"/>
        <w:ind w:left="576"/>
      </w:pPr>
      <w:r>
        <w:rPr>
          <w:b/>
        </w:rPr>
        <w:t xml:space="preserve">18. </w:t>
      </w:r>
      <w:r>
        <w:t xml:space="preserve">Cao, S.; Low, J.; Yu, J.; Jaroniec, M. Polymeric Photocatalysts Based on Graphitic Carbon Nitride. Advanced Materials 2015, 27 (13), 2150-2176. </w:t>
      </w:r>
      <w:r>
        <w:rPr>
          <w:i/>
          <w:color w:val="004D40"/>
          <w:sz w:val="18"/>
        </w:rPr>
        <w:t>doi:10.1002/adma.201500033</w:t>
      </w:r>
    </w:p>
    <w:p>
      <w:pPr>
        <w:spacing w:after="60"/>
        <w:ind w:left="576"/>
      </w:pPr>
      <w:r>
        <w:rPr>
          <w:b/>
        </w:rPr>
        <w:t xml:space="preserve">19. </w:t>
      </w:r>
      <w:r>
        <w:t xml:space="preserve">Pourmadadi, M.; Rahmani, E.; Eshaghi, M. M.; Shamsabadipour, A.; Ghotekar, S.; Rahdar, A.; Romanholo Ferreira, L. F. Graphitic carbon nitride (g-C3N4) synthesis methods, surface functionalization, and drug delivery applications: A review. Journal of Drug Delivery Science and Technology 2023, 79, 104001. </w:t>
      </w:r>
      <w:r>
        <w:rPr>
          <w:i/>
          <w:color w:val="004D40"/>
          <w:sz w:val="18"/>
        </w:rPr>
        <w:t>doi:10.1016/j.jddst.2022.104001</w:t>
      </w:r>
    </w:p>
    <w:p>
      <w:pPr>
        <w:spacing w:after="60"/>
        <w:ind w:left="576"/>
      </w:pPr>
      <w:r>
        <w:rPr>
          <w:b/>
        </w:rPr>
        <w:t xml:space="preserve">20. </w:t>
      </w:r>
      <w:r>
        <w:t xml:space="preserve">Liu, L.; Du, X. Polyethylenimine-modified graphitic carbon nitride nanosheets: a label-free Raman traceable siRNA delivery system. Journal of Materials Chemistry B 2021, 9 (34), 6895-6901. </w:t>
      </w:r>
      <w:r>
        <w:rPr>
          <w:i/>
          <w:color w:val="004D40"/>
          <w:sz w:val="18"/>
        </w:rPr>
        <w:t>doi:10.1039/d1tb00984b</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The Journal of Chemical Physics 2019, 150 (15).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The Journal of Chemical Physics 2010, 132 (15). </w:t>
      </w:r>
      <w:r>
        <w:rPr>
          <w:i/>
          <w:color w:val="004D40"/>
          <w:sz w:val="18"/>
        </w:rPr>
        <w:t>doi:10.1063/1.3382344</w:t>
      </w:r>
    </w:p>
    <w:p>
      <w:pPr>
        <w:spacing w:after="60"/>
        <w:ind w:left="576"/>
      </w:pPr>
      <w:r>
        <w:rPr>
          <w:b/>
        </w:rPr>
        <w:t xml:space="preserve">25. </w:t>
      </w:r>
      <w:r>
        <w:t xml:space="preserve">Spicher, S.; Grimme, S. Robust Atomistic Modeling of Materials, Organometallic, and Biochemical Systems. Angewandte Chemie International Edition 2020, 59 (36), 15665-15673. </w:t>
      </w:r>
      <w:r>
        <w:rPr>
          <w:i/>
          <w:color w:val="004D40"/>
          <w:sz w:val="18"/>
        </w:rPr>
        <w:t>doi:10.1002/anie.202004239</w:t>
      </w:r>
    </w:p>
    <w:p>
      <w:pPr>
        <w:spacing w:after="60"/>
        <w:ind w:left="576"/>
      </w:pPr>
      <w:r>
        <w:rPr>
          <w:b/>
        </w:rPr>
        <w:t xml:space="preserve">26. </w:t>
      </w:r>
      <w:r>
        <w:t xml:space="preserve">Kessler, F. K.; Zheng, Y.; Schwarz, D.; Merschjann, C.; Schnick, W.; Wang, X.; Bojdys, M. J. Functional carbon nitride materials — design strategies for electrochemical devices. Nature Reviews Materials 2017, 2 (6).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and morphology and their use as metal-free catalysts. Journal of Materials Chemistry 2008, 18 (41), 4893. </w:t>
      </w:r>
      <w:r>
        <w:rPr>
          <w:i/>
          <w:color w:val="004D40"/>
          <w:sz w:val="18"/>
        </w:rPr>
        <w:t>doi:10.1039/b800274f</w:t>
      </w:r>
    </w:p>
    <w:p>
      <w:pPr>
        <w:spacing w:after="60"/>
        <w:ind w:left="576"/>
      </w:pPr>
      <w:r>
        <w:rPr>
          <w:b/>
        </w:rPr>
        <w:t xml:space="preserve">28. </w:t>
      </w:r>
      <w:r>
        <w:t xml:space="preserve">Geerlings, P.; De Proft, F.; Langenaeker, W. Conceptual Density Functional Theory. Chemical Reviews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Journal of Computational Chemistry 2009,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Journal of Chemical Information and Modeling 2021, 61 (8), 3891-3898. </w:t>
      </w:r>
      <w:r>
        <w:rPr>
          <w:i/>
          <w:color w:val="004D40"/>
          <w:sz w:val="18"/>
        </w:rPr>
        <w:t>doi:10.1021/acs.jcim.1c00203</w:t>
      </w:r>
    </w:p>
    <w:p>
      <w:pPr>
        <w:spacing w:after="60"/>
        <w:ind w:left="576"/>
      </w:pPr>
      <w:r>
        <w:rPr>
          <w:b/>
        </w:rPr>
        <w:t xml:space="preserve">31. </w:t>
      </w:r>
      <w:r>
        <w:t xml:space="preserve">Berman, H. M. The Protein Data Bank. Nucleic Acids Research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Research 2020,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Nature Reviews Drug Discovery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Journal of the American Chemical Society 1999, 121 (9), 1922-1924. </w:t>
      </w:r>
      <w:r>
        <w:rPr>
          <w:i/>
          <w:color w:val="004D40"/>
          <w:sz w:val="18"/>
        </w:rPr>
        <w:t>doi:10.1021/ja983494x</w:t>
      </w:r>
    </w:p>
    <w:p>
      <w:pPr>
        <w:spacing w:after="60"/>
        <w:ind w:left="576"/>
      </w:pPr>
      <w:r>
        <w:rPr>
          <w:b/>
        </w:rPr>
        <w:t xml:space="preserve">37. </w:t>
      </w:r>
      <w:r>
        <w:t xml:space="preserve">Chattaraj, P. K.; Maiti, B.; Sarkar, U. Philicity: A Unified Treatment of Chemical Reactivity and Selectivity. The Journal of Physical Chemistry A 2003, 107 (25),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&amp; Combinatorial Science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Molecular Informatics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Case Deletions. Applied Statistics 1987, 36 (2), 181.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QSPR/QSAR. Journal of Chemical Information and Modeling 2007, 47 (6), 2345-2357. </w:t>
      </w:r>
      <w:r>
        <w:rPr>
          <w:i/>
          <w:color w:val="004D40"/>
          <w:sz w:val="18"/>
        </w:rPr>
        <w:t>doi:10.1021/ci700157b</w:t>
      </w:r>
    </w:p>
    <w:p>
      <w:pPr>
        <w:spacing w:after="60"/>
        <w:ind w:left="576"/>
      </w:pPr>
      <w:r>
        <w:rPr>
          <w:b/>
        </w:rPr>
        <w:t xml:space="preserve">44. </w:t>
      </w:r>
      <w:r>
        <w:t xml:space="preserve">Varoquaux, G.; Buitinck, L.; Louppe, G.; Grisel, O.; Pedregosa, F.; Mueller, A. Scikit-learn. GetMobile: Mobile Computing and Communications 2015, 19 (1), 29-33. </w:t>
      </w:r>
      <w:r>
        <w:rPr>
          <w:i/>
          <w:color w:val="004D40"/>
          <w:sz w:val="18"/>
        </w:rPr>
        <w:t>doi:10.1145/2786984.2786995</w:t>
      </w:r>
    </w:p>
    <w:p>
      <w:pPr>
        <w:spacing w:after="60"/>
        <w:ind w:left="576"/>
      </w:pPr>
      <w:r>
        <w:rPr>
          <w:b/>
        </w:rPr>
        <w:t xml:space="preserve">45. </w:t>
      </w:r>
      <w:r>
        <w:t xml:space="preserve">Provenzano, P.; Cuevas, C.; Chang, A.; Goel, V.; Von Hoff, D.; Hingorani, S. Enzymatic Targeting of the Stroma Ablates Physical Barriers to Treatment of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2012,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doi:10.1126/science.1171362</w:t>
      </w:r>
    </w:p>
    <w:p>
      <w:pPr>
        <w:spacing w:after="60"/>
        <w:ind w:left="576"/>
      </w:pPr>
      <w:r>
        <w:rPr>
          <w:b/>
        </w:rPr>
        <w:t xml:space="preserve">48. </w:t>
      </w:r>
      <w:r>
        <w:t xml:space="preserve">Blanco, E.; Shen, H.; Ferrari, M. Principles of nanoparticle design for overcoming biological barriers to drug delivery. Nature Biotechnology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Nature Nanotechnology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Nature Reviews Cancer 2016,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Journal of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Nature Reviews Drug Discovery 2020, 20 (2), 101-124. </w:t>
      </w:r>
      <w:r>
        <w:rPr>
          <w:i/>
          <w:color w:val="004D40"/>
          <w:sz w:val="18"/>
        </w:rPr>
        <w:t>doi:10.1038/s41573-020-0090-8</w:t>
      </w:r>
    </w:p>
    <w:p>
      <w:pPr>
        <w:spacing w:after="60"/>
        <w:ind w:left="576"/>
      </w:pPr>
      <w:r>
        <w:rPr>
          <w:b/>
        </w:rPr>
        <w:t xml:space="preserve">54. </w:t>
      </w:r>
      <w:r>
        <w:t xml:space="preserve">Awad, M. M.; Liu, S.; Rybkin, I. I.; Arbour, K. C.; Dilly, J.; Zhu, V. W.; Johnson, M. L.; Heist, R. S.; Patil, T.; Riely, G. J.; et al. Acquired Resistance to KRAS G12C Inhibition in Cancer. New England Journal of Medicine 2021, 384 (25), 2382-2393. </w:t>
      </w:r>
      <w:r>
        <w:rPr>
          <w:i/>
          <w:color w:val="004D40"/>
          <w:sz w:val="18"/>
        </w:rPr>
        <w:t>doi:10.1056/nejmoa2105281</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Nature Reviews Drug Discovery 2014, 13 (11), 828-851. </w:t>
      </w:r>
      <w:r>
        <w:rPr>
          <w:i/>
          <w:color w:val="004D40"/>
          <w:sz w:val="18"/>
        </w:rPr>
        <w:t>doi:10.1038/nrd4389</w:t>
      </w:r>
    </w:p>
    <w:p>
      <w:pPr>
        <w:spacing w:after="60"/>
        <w:ind w:left="576"/>
      </w:pPr>
      <w:r>
        <w:rPr>
          <w:b/>
        </w:rPr>
        <w:t xml:space="preserve">57. </w:t>
      </w:r>
      <w:r>
        <w:t xml:space="preserve">Kessler, D.; Gmachl, M.; Mantoulidis, A.; Martin, L. J.; Zoephel, A.; Mayer, M.; Gollner, A.; Covini, D.; Fischer, S.; Gerstberger, T.; et al. Drugging an undruggable pocket on KRAS. Proceedings of the National Academy of Sciences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Discovery 2022, 12 (4), 924-937. </w:t>
      </w:r>
      <w:r>
        <w:rPr>
          <w:i/>
          <w:color w:val="004D40"/>
          <w:sz w:val="18"/>
        </w:rPr>
        <w:t>doi:10.1158/2159-8290.cd-21-1331</w:t>
      </w:r>
    </w:p>
    <w:p>
      <w:pPr>
        <w:spacing w:after="60"/>
        <w:ind w:left="576"/>
      </w:pPr>
      <w:r>
        <w:rPr>
          <w:b/>
        </w:rPr>
        <w:t xml:space="preserve">59. </w:t>
      </w:r>
      <w:r>
        <w:t xml:space="preserve">Pandey, D.; Chauhan, S. C.; Kashyap, V. K.; Roy, K. K. Structural insights into small-molecule KRAS inhibitors for targeting KRAS mutant cancers. European Journal of Medicinal Chemistry 2024, 277, 116771. </w:t>
      </w:r>
      <w:r>
        <w:rPr>
          <w:i/>
          <w:color w:val="004D40"/>
          <w:sz w:val="18"/>
        </w:rPr>
        <w:t>doi:10.1016/j.ejmech.2024.116771</w:t>
      </w:r>
    </w:p>
    <w:p>
      <w:pPr>
        <w:spacing w:after="60"/>
        <w:ind w:left="576"/>
      </w:pPr>
      <w:r>
        <w:rPr>
          <w:b/>
        </w:rPr>
        <w:t xml:space="preserve">60. </w:t>
      </w:r>
      <w:r>
        <w:t xml:space="preserve">Kim, D.; Herdeis, L.; Rudolph, D.; Zhao, Y.; Böttcher, J.; Vides, A.; Ayala-Santos, C. I.; Pourfarjam, Y.; Cuevas-Navarro, A.; Xue, J. Y.;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Manzur, A.; Oluwasanmi, A.; Moss, D.; Curtis, A.; Hoskins, C. Nanotechnologies in Pancreatic Cancer Therapy. Pharmaceutics 2017, 9 (4), 39. </w:t>
      </w:r>
      <w:r>
        <w:rPr>
          <w:i/>
          <w:color w:val="004D40"/>
          <w:sz w:val="18"/>
        </w:rPr>
        <w:t>doi:10.3390/pharmaceutics9040039</w:t>
      </w:r>
    </w:p>
    <w:p>
      <w:pPr>
        <w:spacing w:after="60"/>
        <w:ind w:left="576"/>
      </w:pPr>
      <w:r>
        <w:rPr>
          <w:b/>
        </w:rPr>
        <w:t xml:space="preserve">62. </w:t>
      </w:r>
      <w:r>
        <w:t xml:space="preserve">Hanahan, D. Hallmarks of Cancer: New Dimensions. Cancer Discovery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Proteins and Their Regulators in Human Disease.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undruggable drugged?. Nature Reviews Drug Discovery 2020, 19 (8), 533-552. </w:t>
      </w:r>
      <w:r>
        <w:rPr>
          <w:i/>
          <w:color w:val="004D40"/>
          <w:sz w:val="18"/>
        </w:rPr>
        <w:t>doi:10.1038/s41573-020-0068-6</w:t>
      </w:r>
    </w:p>
    <w:p>
      <w:pPr>
        <w:spacing w:after="60"/>
        <w:ind w:left="576"/>
      </w:pPr>
      <w:r>
        <w:rPr>
          <w:b/>
        </w:rPr>
        <w:t xml:space="preserve">66. </w:t>
      </w:r>
      <w:r>
        <w:t xml:space="preserve">Lu, W.; Zeng, R.; Pan, M.; Zhou, Y.; Tang, H.; Shen, W.; Tang, Y.; Lei, P. Pharmacokinetics, bioavailability, and tissue distribution of MRTX1133 in rats using UHPLC-MS/MS. Frontiers in Pharmacology 2024, 15.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(25),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Nature Reviews Clinical Oncology 2026, 23 (7), 475-475. </w:t>
      </w:r>
      <w:r>
        <w:rPr>
          <w:i/>
          <w:color w:val="004D40"/>
          <w:sz w:val="18"/>
        </w:rPr>
        <w:t>doi:10.1038/s41571-026-01162-x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