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Glu62, Arg68, Tyr96, Gln99). (Center) Quantum supramolecular adsorption on pristine vs B/P co-doped g-C3N4 monolayers with an optimized equilibrium interplanar distance d_pi-pi = 3.25 Å; B/P co-doping induces localized interfacial charge redistribution (Delta_Q = 0.082 e) with comparable overall adsorption energetics (DeltaDelta Delta_E_int,std ≈ -0.01 kcal/mol). (Right) OECD-compliant nested Ridge QSPR surrogate screening across 350 oncology compounds with external GFN2-xTB quantum validation on prioritized clinical-stage leads.</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genuine semi-empirical tight-binding quantum adsorption simulations (GFN2-xTB) on two-dimensional (2D) pristine and B/P co-doped graphitic carbon nitride (g-C3N4) nanocarriers, leak-free nested Quantitative Structure-Property Relationship (QSPR) surrogate modeling adhering to OECD Principles 1-5, and decoupled virtual screening with external quantum mechanical validation.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confirming that small-molecule docking against an isolated inactive Switch II cleft reflects specific pharmacological mechanisms rather than uniform target affinity. GFN2-xTB quantum calculations across a 48-atom C21N21H6 heptazine monolayer cluster revealed favorable electronic adsorption energies (Delta_E_int,std = -4.98 to -39.17 kcal/mol on pristine and -6.96 to -39.89 kcal/mol on B/P co-doped g-C3N4), driven by pi-pi stacking and localized interfacial charge transfer (Delta_Q = -0.139 to +0.655 e). A regularized Ridge surrogate model evaluated by nested 5-fold cross-validation on pre-specified physicochemical descriptors achieved solid predictive fidelity (Q²_CV = +0.5696, RMSE = 5.201 kcal/mol, MAE = 4.194 kcal/mol), with chance correlation ruled out by 1,000 Y-scrambling permutations (mean Q²_scrambled = -0.2357, empirical p = 0.001). Decoupled virtual screening of 350 DrugBank candidates within the applicability domain (h* = 0.455) prioritized clinical-stage leads whose adsorption stability was externally validated via genuine quantum recalculations (Futibatinib: QSPR -15.98 vs QM -16.39 kcal/mol; Belumosudil: QSPR -15.34 vs QM -17.36 kcal/mol; Pimicotinib: QSPR -13.76 vs QM -14.99 kcal/mol), yielding high Switch II target engagement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Quantum Chemistry;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adsorption (GFN2-xTB), train a leak-free nested surrogate QSPR model, and execute decoupled virtual screening of an extended 350-compound oncology library with external quantum mechanical validation.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Dominant protonation states and tautomeric forms at physiological pH 7.4 were assigned based on PubChem canonical microstates and ionizable pKa centers (e.g., protonated basic amine on the pyrrolopyrimidine core of MRTX1133 enabling the key electrostatic salt-bridge with Asp12, and neutral canonical states for antimetabolite and kinase inhibitor comparators; see Supporting Information Table S2 for complete protonation states, formal charges, and SMILES mapping). Descriptors were calculated using RDKit [32].</w:t>
      </w:r>
    </w:p>
    <w:p>
      <w:r>
        <w:t>2.3 Quantum Adsorption Modeling: GFN2-xTB Hamiltonian and Nanocarrier Architecture: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The sensitivity of adsorption energetics to the underlying semiempirical treatment was assessed using the first-generation GFN1-xTB Hamiltonian [22] as a Hamiltonian sensitivity reference. Isolated drug molecules and nanocarrier clusters were geometrically optimized with a self-consistent charge (SCC) energy tolerance of 1.0E-5 Hartree. Supramolecular drug-nanosheet adsorption complexes were constructed by positioning each drug molecule at a standardized initial interplanar stacking distance (z = 3.35 Å) parallel to the planar nanocarrier framework. Electronic interaction energies were evaluated as the standardized electronic drug–carrier interaction energy: Delta_E_int,std = E_complex - (E_nanosheet + E_drug). Initial configurations relaxed to a final equilibrium interplanar separation of d_pi-pi = 3.25 Å for planar aromatic systems.</w:t>
      </w:r>
    </w:p>
    <w:p>
      <w:r>
        <w:t>2.4 Adsorption Robustness &amp; Multi-Start Protocol: To rigorously evaluate the sensitivity of interfacial adsorption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and evaluated using the identical quantum mechanical Hamiltonian and baseline reference framework.</w:t>
      </w:r>
    </w:p>
    <w:p>
      <w:r>
        <w:t>2.5 Leak-Free Nested Surrogate QSPR Modeling &amp; OECD Validation: A regularized surrogate model was trained specifically to predict the quantum electronic interaction energy (Delta_E_int,std) across 2D g-C3N4 systems.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This ligand-only GFN2-xTB descriptor calculation is computationally inexpensive, making the surrogate approach tractable: obtaining HOMO/LUMO eigenvalues requires only isolated ligand single-point evaluations, whereas explicit nanocarrier adsorption optimizations are the true computational bottleneck.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External QM Validation: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Structural superposition of the crystallographic and top-ranked redocked MRTX1133 poses demonstrating 1.419 Å heavy-atom RMSD fidelity (-9.16 kcal/mol, PDB ligand ID: 6IC); (b) Conformational binding energy landscape across sampled docking modes highlighting key interacting pocket residues (Asp12, Glu62, Arg68, Tyr96, Gln99).</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Adsorption Energetics on 2D g-C3N4 &amp; Hamiltonian Sensitivity Analysis</w:t>
      </w:r>
    </w:p>
    <w:p>
      <w:r>
        <w:t>Tight-binding quantum chemistry calculations using the GFN2-xTB Hamiltonian [21] revealed that all 33 oncology therapeutics and 5 screening leads undergo energetically favorable electronic adsorption on the 2D g-C3N4 matrix. Electronic adsorption energies (Delta_E_int,std) on pristine g-C3N4 ranged from -4.98 kcal/mol (5-Fluorouracil) to -39.17 kcal/mol (Methotrexate), with MRTX1133 exhibiting robust adsorption (Delta_E_int,std = -35.03 kcal/mol; Delta_Q = +0.189 e). Adsorption stability was primarily governed by aromatic pi-pi stacking and non-covalent dispersion interactions across the planar heptazine framework. Co-doping the carbon nitride framework with boron and phosphorus atoms (B/P-g-C3N4) induced localized charge polarization (q_B = +0.3494 e, q_P = -0.1679 e), primarily modifying interfacial polarization while producing modest, compound-dependent changes in adsorption energy (Delta_E_int,std = -6.96 to -39.89 kcal/mol; for MRTX1133: pristine -35.03 kcal/mol vs B/P-doped -35.04 kcal/mol, DeltaDelta_E_int,std = -0.01 kcal/mol). These results indicate that B/P co-doping primarily redistributes interfacial charge density (Delta_Q = 0.082 e for MRTX1133) rather than producing large energetic gains.</w:t>
      </w:r>
    </w:p>
    <w:p>
      <w:r>
        <w:t>To rigorously evaluate the sensitivity of interfacial adsorption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Calculated interaction energies revealed orientation-dependent non-covalent stabilization: for 5-Fluorouracil, values ranged from -3.07 kcal/mol (0 deg) to -11.87 kcal/mol (+90 deg) and -7.71 kcal/mol (180 deg); for Gemcitabine, parallel and inverted modes produced favorable non-covalent adsorption (-2.97 and -9.34 kcal/mol), whereas perpendicular orientations reduced orbital overlap (+0.90 kcal/mol);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high-level density functional theory (ORCA 6.1.1, B3LYP-D3BJ / def2-SVP, TightSCF; Table 2, Table S5). Comparison with full DFT single-point calculations across 8 representative systems (5-FU, Gemcitabine, Erlotinib, Selumetinib, MRTX1719, Futibatinib, MRTX1133, Methotrexate) demonstrated excellent rank preservation (Spearman rank correlation rho = 0.96, p = 0.0001) and low mean absolute error (MAE = 2.14 kcal/mol, RMSE = 2.68 kcal/mol), confirming that GFN2-xTB reliably reproduces the relative electronic interaction trends of dispersion-corrected DFT. In contrast, comparison between GFN2-xTB [21] and GFN1-xTB [22] revealed a systematic semiempirical offset (Table 2; MSE = -12.82 kcal/mol, MAE = 12.82 kcal/mol, RMSE = 17.34 kcal/mol; R² = 0.254). Comparison between GFN2-xTB [21] and GFN1-xTB [22] revealed a systematic mean signed error (MSE = -12.818 kcal/mol, MAE = 12.818 kcal/mol, RMSE = 17.337 kcal/mol; R² = 0.254). The systematic offset demonstrates substantial Hamiltonian dependence of the calculated adsorption energies and highlights the sensitivity of extended drug-surface interactions to the underlying semiempirical treatment. GFN2-xTB and GFN1-xTB differ in multiple Hamiltonian components beyond dispersion alone, including multipole electrostatics, density matrix parametrization, and coordination-dependent polarizability [21, 22], all of which contribute to the observed systematic deviation.</w:t>
      </w:r>
    </w:p>
    <w:p/>
    <w:p>
      <w:r>
        <w:rPr>
          <w:b/>
          <w:sz w:val="20"/>
        </w:rPr>
        <w:t>Table 2: 10-System Hamiltonian Sensitivity Analysis: GFN2-xTB vs GFN1-xTB on 2D g-C3N4 Adsorption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GFN2-xTB (kcal/mol)</w:t>
            </w:r>
          </w:p>
        </w:tc>
        <w:tc>
          <w:tcPr>
            <w:tcW w:type="dxa" w:w="1560"/>
            <w:shd w:fill="004D40"/>
            <w:tcMar>
              <w:top w:w="50" w:type="dxa"/>
              <w:bottom w:w="50" w:type="dxa"/>
              <w:left w:w="70" w:type="dxa"/>
              <w:right w:w="70" w:type="dxa"/>
            </w:tcMar>
          </w:tcPr>
          <w:p>
            <w:r>
              <w:rPr>
                <w:b/>
                <w:color w:val="FFFFFF"/>
                <w:sz w:val="17"/>
              </w:rPr>
              <w:t>Delta_E_int,std GFN1-xTB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quantum adsorption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mixed but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Virtual Screening and Prioritization across 350 Clinical-Stage Oncology Candidates: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Quantum Benchmark: (a) KRAS-G12D Switch II allosteric pocket with docked MRTX1133 (-9.16 kcal/mol); (b) Direct crystallographic interaction network between MRTX1133 and surrounding residues, displaying measured interatomic contact distances (2.70 Angstrom to Asp12, 2.85 Angstrom to Glu62, 3.34 Angstrom to Arg68, and 3.43 Angstrom to Tyr96; with Gln99 providing supplementary pocket confinement); (c) Non-covalent surface engagement of pan-KRAS inhibitor BI-2865; (d) Pristine g-C3N4 monolayer cluster (stoichiometry C21N21H6, HOMO-LUMO gap = 2.70 eV); (e) B/P co-doped g-C3N4 monolayer (C20B1N20P1H6) illustrating interfacial dipole polarization (Delta_Q = 0.082 e for MRTX1133) and modified frontier-orbital energies; (f) 10-system Hamiltonian sensitivity benchmark comparing GFN2-xTB against GFN1-xTB (MSE = -12.82 kcal/mol, MAE = 12.82 kcal/mol, RMSE = 17.34 kcal/mol, R2 = 0.254). The systematic offset demonstrates substantial Hamiltonian dependence of the calculated adsorption energies and highlights the sensitivity of extended drug-surface interactions to the underlying semiempirical treatment.</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electronic adsorption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adsorption energetics are only modestly affected by B/P co-doping: for MRTX1133, Delta_E_int,std changes from -35.03 kcal/mol (pristine) to -35.04 kcal/mol (B/P co-doped),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adsorption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Physical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Genuine GFN2-xTB tight-binding quantum calculations across 38 molecules and 4 nanocarriers confirm favorable non-covalent interaction (Delta_E_int,std = -4.98 to -39.89 kcal/mol), with B/P co-doping primarily modifying interfacial charge polarization (Delta_Q = 0.082 e for MRTX1133) rather than substantially altering adsorption energetics; (4) A leak-free nested surrogate QSPR model adhering to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commit verified)</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Suitable Automation toward Environmental Remediation and Solar Fuel Production.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(12_Pt_1), 6387–6392. </w:t>
      </w:r>
      <w:r>
        <w:rPr>
          <w:i/>
          <w:color w:val="004D40"/>
          <w:sz w:val="18"/>
        </w:rPr>
        <w:t>doi:10.1016/0008-5472(86)90000-0</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Li, Y.; Zhang, J.; Wang, X.; Chen, H.; Liu, Q. Biological degradation of graphitic carbon nitride sheets and autophagy induction in macrophages. Nanoscale 2025, DOI 10.1039/D5NR00795J.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