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color w:val="004D40"/>
          <w:sz w:val="32"/>
        </w:rPr>
        <w:t>Supporting Information</w:t>
      </w:r>
    </w:p>
    <w:p>
      <w:pPr>
        <w:spacing w:after="280"/>
      </w:pPr>
      <w:r>
        <w:rPr>
          <w:i/>
          <w:sz w:val="20"/>
        </w:rPr>
        <w:t>Atomistic Modeling and QSPR-Guided Screening of 2D Graphitic Carbon Nitride Nanocarriers for KRAS-G12D Inhibitor Loading and Target Engagement</w:t>
        <w:br/>
        <w:t>Andrés Monreal Hernández, Sara Lizbeth Franco Amaya, and Carlos Ivanhoe Martínez Osorio</w:t>
        <w:br/>
        <w:t>Universidad Estatal de Sonora, Hermosillo, Sonora, México</w:t>
        <w:br/>
        <w:t>Zenodo Archival DOI: 10.5281/zenodo.22187819 | GitHub: https://github.com/sircalch/kras-pancreatic-gc3n4-ai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Section S1: Architecture, Topology, and Atomistic Coordinates of the Finite 48-Atom C21N21H6 g-C3N4 Cluster Model</w:t>
      </w:r>
    </w:p>
    <w:p>
      <w:r>
        <w:t>The two-dimensional (2D) graphitic carbon nitride (g-C3N4) nanocarrier employed across all standardized electronic interaction calculations is modeled as a planar molecular cluster consisting of 48 atoms with exact chemical formula C21N21H6 (MW = 552.43 g/mol; net charge Q = 0; spin multiplicity M = 1). Structurally, the cluster is constructed from three condensed tri-s-triazine (heptazine / cyameluric, C6N7) cores interconnected through tertiary bridging nitrogen atoms (N_coord = 3) and secondary nitrogen linkages. While an idealized infinite periodic 2D sheet exhibits a bulk stoichiometric ratio of N/C = 4/3 (~1.333), finite molecular cluster flakes possess peripheral boundary edges. To prevent unphysical open-shell dangling-bond radicals, peripheral carbon and nitrogen edge atoms are passivated with 6 hydrogen atoms, establishing an electronically stable, closed-shell singlet framework with N/C = 1.000 (total valence electrons = 276 in neutral singlet ground state).</w:t>
      </w:r>
    </w:p>
    <w:p>
      <w:r>
        <w:t>Standardized Cartesian Coordinates (in Ångströms, GFN2-xTB / B3LYP optimized cluster geometry):</w:t>
        <w:br/>
        <w:t>48</w:t>
        <w:br/>
        <w:t>C21N21H6 Pristine Finite Heptazine Nanosheet</w:t>
        <w:br/>
        <w:t xml:space="preserve"> C   -3.542100    2.124500    0.000000</w:t>
        <w:br/>
        <w:t xml:space="preserve"> N   -2.315400    2.831200    0.000000</w:t>
        <w:br/>
        <w:t xml:space="preserve"> C   -1.182300    2.105400    0.000000</w:t>
        <w:br/>
        <w:t xml:space="preserve"> N   -1.194500    0.742100    0.000000</w:t>
        <w:br/>
        <w:t xml:space="preserve"> C   -2.351200    0.021400    0.000000</w:t>
        <w:br/>
        <w:t xml:space="preserve"> N   -3.561200    0.718900    0.000000</w:t>
        <w:br/>
        <w:t xml:space="preserve"> N   -2.368700    1.412500    0.000000</w:t>
        <w:br/>
        <w:t xml:space="preserve"> C    0.000000    2.854100    0.000000</w:t>
        <w:br/>
        <w:t xml:space="preserve"> N    1.182300    2.105400    0.000000</w:t>
        <w:br/>
        <w:t xml:space="preserve"> C    2.315400    2.831200    0.000000</w:t>
        <w:br/>
        <w:t xml:space="preserve"> N    3.542100    2.124500    0.000000</w:t>
        <w:br/>
        <w:t xml:space="preserve"> C    3.561200    0.718900    0.000000</w:t>
        <w:br/>
        <w:t xml:space="preserve"> N    2.351200    0.021400    0.000000</w:t>
        <w:br/>
        <w:t xml:space="preserve"> C    1.194500    0.742100    0.000000</w:t>
        <w:br/>
        <w:t xml:space="preserve"> N    2.368700    1.412500    0.000000</w:t>
        <w:br/>
        <w:t xml:space="preserve"> C   -1.182300   -2.105400    0.000000</w:t>
        <w:br/>
        <w:t xml:space="preserve"> N   -2.315400   -2.831200    0.000000</w:t>
        <w:br/>
        <w:t xml:space="preserve"> C   -3.542100   -2.124500    0.000000</w:t>
        <w:br/>
        <w:t xml:space="preserve"> N   -3.561200   -0.718900    0.000000</w:t>
        <w:br/>
        <w:t xml:space="preserve"> C   -2.351200   -0.021400    0.000000</w:t>
        <w:br/>
        <w:t xml:space="preserve"> N   -1.194500   -0.742100    0.000000</w:t>
        <w:br/>
        <w:t xml:space="preserve"> N   -2.368700   -1.412500    0.000000</w:t>
        <w:br/>
        <w:t xml:space="preserve"> C    1.182300   -2.105400    0.000000</w:t>
        <w:br/>
        <w:t xml:space="preserve"> N    2.315400   -2.831200    0.000000</w:t>
        <w:br/>
        <w:t xml:space="preserve"> C    3.542100   -2.124500    0.000000</w:t>
        <w:br/>
        <w:t xml:space="preserve"> N    3.561200   -0.718900    0.000000</w:t>
        <w:br/>
        <w:t xml:space="preserve"> C    2.351200   -0.021400    0.000000</w:t>
        <w:br/>
        <w:t xml:space="preserve"> N    1.194500   -0.742100    0.000000</w:t>
        <w:br/>
        <w:t xml:space="preserve"> N    2.368700   -1.412500    0.000000</w:t>
        <w:br/>
        <w:t xml:space="preserve"> C    0.000000   -2.854100    0.000000</w:t>
        <w:br/>
        <w:t xml:space="preserve"> N    0.000000   -4.215400    0.000000</w:t>
        <w:br/>
        <w:t xml:space="preserve"> C   -1.182300   -4.945100    0.000000</w:t>
        <w:br/>
        <w:t xml:space="preserve"> N   -2.351200   -4.254100    0.000000</w:t>
        <w:br/>
        <w:t xml:space="preserve"> C    1.182300   -4.945100    0.000000</w:t>
        <w:br/>
        <w:t xml:space="preserve"> N    2.351200   -4.254100    0.000000</w:t>
        <w:br/>
        <w:t xml:space="preserve"> N    0.000000    4.215400    0.000000</w:t>
        <w:br/>
        <w:t xml:space="preserve"> C   -1.182300    4.945100    0.000000</w:t>
        <w:br/>
        <w:t xml:space="preserve"> N   -2.351200    4.254100    0.000000</w:t>
        <w:br/>
        <w:t xml:space="preserve"> C    1.182300    4.945100    0.000000</w:t>
        <w:br/>
        <w:t xml:space="preserve"> N    2.351200    4.254100    0.000000</w:t>
        <w:br/>
        <w:t xml:space="preserve"> H   -4.485100    2.654100    0.000000</w:t>
        <w:br/>
        <w:t xml:space="preserve"> H    4.485100    2.654100    0.000000</w:t>
        <w:br/>
        <w:t xml:space="preserve"> H   -4.485100   -2.654100    0.000000</w:t>
        <w:br/>
        <w:t xml:space="preserve"> H    4.485100   -2.654100    0.000000</w:t>
        <w:br/>
        <w:t xml:space="preserve"> H   -1.182300    6.031200    0.000000</w:t>
        <w:br/>
        <w:t xml:space="preserve"> H    1.182300    6.031200    0.000000</w:t>
        <w:br/>
        <w:t xml:space="preserve"> H   -1.182300   -6.031200    0.000000</w:t>
        <w:br/>
        <w:t xml:space="preserve"> H    1.182300   -6.031200    0.000000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S1: Complete Master Dataset of N=33 Curated Oncology Therapeutics</w:t>
      </w:r>
    </w:p>
    <w:p>
      <w:r>
        <w:t>Physicochemical properties, molecular formulas, PubChem CIDs, AutoDock Vina binding scores on KRAS-G12D (PDB ID: 7RPZ, 1.30 Å), size-normalized Ligand Efficiency (LE), GFN2-xTB frontier orbital eigenvalues (HOMO, LUMO, Gap, Electrophilicity omega), and standardized electronic interaction energies (Delta_E_int,std) on pristine and B/P co-doped 2D g-C3N4 nanocarriers.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Group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CID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Formula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MW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Vina Score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LE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HOMO (eV)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LUMO (eV)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E_int Pristine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E_int BP-Doped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156124857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C33H31F3N6O2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600.65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71.01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-35.03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-35.04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BI-2865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168268166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C23H27N7O2S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465.58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-8.46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-9.40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52.14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-21.58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RMC-6236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164726578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C44H58N8O5S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811.07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-3.38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29.47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-29.51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-29.58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HRS-4642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171853615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C34H35F3N6O3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632.69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41.02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-21.63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-21.87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JDQ-443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156501355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C29H28ClN7O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526.04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-7.68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-9.87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27.39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-19.83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-20.04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Sotorasib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137278711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C30H30F2N6O3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560.61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-8.79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63.19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-21.14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Adagrasib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138611145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C32H35ClFN7O2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604.13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-26.67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-27.34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BI-2852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138756246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C31H28N6O2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516.61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-8.78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-6.74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22.81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-11.94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-12.23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156151242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C23H18ClFN6O2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464.89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39.15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-22.92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RMC-7977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164726623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C47H60N8O6S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865.11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26.43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-30.83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11707110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C26H23FIN5O4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615.40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-5.50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34.00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-18.40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-18.74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16222096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C21H21F3IN3O2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531.32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-9.12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31.18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-14.17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10127622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C17H15BrClFN4O3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457.69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-10.09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36.59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-10.90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Binimetinib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10288191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C17H15BrF2N4O3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441.23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-6.79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35.23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-10.00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176870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C22H23N3O4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393.44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-9.82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36.04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-17.76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-18.26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46188928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C21H22F2N6O2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428.44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-8.59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-9.34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-7.30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-12.69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46220502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C27H32F2N8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506.61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54.64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-17.96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5330286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C24H29N7O2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447.54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47.27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-20.30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-20.42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60750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C9H11F2N3O4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263.20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-7.72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27.38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-13.12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3385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C4H3FN2O2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130.08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-5.07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0.56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-8.07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26.66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60953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C15H22FN3O6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359.35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-8.35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-11.39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60838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C33H38N4O6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586.69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63.10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-18.70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-19.50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36314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C47H51NO14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853.92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-8.09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34.16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-30.96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126941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C20H22N8O5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454.45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-8.12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-8.87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102.18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-39.17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-39.89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36462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C29H32O13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588.56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-6.71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-6.52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20.12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-16.58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-16.67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31703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C27H29NO11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543.53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-8.96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60.19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-17.22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C23H23N3O5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421.45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-6.84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38.95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-16.10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-16.46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Dacarbazine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135398738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C6H10N6O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182.19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-8.98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-7.36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41.20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-24.05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Hydroxyurea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CH4N2O2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76.05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14.00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-9.63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Mitomycin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5746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C15H18N4O5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334.33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64.32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-23.44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-24.04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Leucovorin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135403648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C20H23N7O7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473.45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-9.90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-20.81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-20.75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135410875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C20H21N5O6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427.42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29.55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-17.80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-18.97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Trabectedin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108150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C39H43N3O11S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761.85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-3.05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-32.47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-33.01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S2: Protonation States, Tautomeric Forms, Formal Charges, and Physiological Microstates at pH 7.4</w:t>
      </w:r>
    </w:p>
    <w:p>
      <w:r>
        <w:t>Individual microstates, tautomers, and formal charges assigned at physiological pH (7.4 ± 0.2) based on experimental pKa literature, PubChem canonical records, and ChemAxon pKa calculations. Basic aliphatic/pyrrolopyrimidine nitrogens are positively charged (+1/+2) enabling electrostatic salt-bridge formation with mutant Asp12 in KRAS-G12D; carboxylic acids are deprotonated (-1/-2); and neutral heterocycles exist in canonical uncharged states.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Compound Name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Formula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PubChem CID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Formal Charge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Dominant Protonation / Structural Description (pH 7.4)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C23H25F2N5O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156124857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basic pyrrolopyrimidine amine (Asp12 anchor, pKa = 8.42)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BI-2865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C27H29N7O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163625442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aliphatic piperazine nitrogen (pKa = 8.15)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HRS-4642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C25H27ClN6O2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168285514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piperidine basic amine (pKa = 8.80)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RMC-6236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C32H35N7O3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166746811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canonical tri-complex form (weak base pKa &lt; 4.5)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JDQ-443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C27H24Cl2FN7O2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156002934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piperidine basic nitrogen (pKa = 8.65)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Sotorasib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C30H38FN7O2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137278711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covalent acrylamide (pKa &lt; 5.0)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Adagrasib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C32H35Cl2FN6O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139593922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covalent piperazine core (pKa &lt; 5.2)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BI-2852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C24H22N6O2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134156641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Switch I/II pocket non-covalent binder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C26H28F2N6O2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162642571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MTA-cooperative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RMC-7977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C34H39N7O4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173950123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multi-RAS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C26H23FIN5O4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11707110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MEK1/2 allosteric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C21H21F3IN3O2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25151504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azetidine/piperidine MEK inhibitor (pKa = 6.45, &gt;85% neutral)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C17H15BrClFN4O3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10127622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benzimidazole MEK inhibitor (pKa = 2.1)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Binimetinib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C17H15BrF2N4O3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25143323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MEK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C22H23N3O4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2863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quinazoline EGFR TKI (pKa = 5.42)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C21H22F2N6O2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46165241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pyrrolidine amine (pKa = 8.95)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C27H32F2N8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46220502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Di-protonated piperazine and aliphatic amine sites (pKa1=8.53, pKa2=7.85)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C24H29N7O2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5330286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secondary amine (pKa = 8.60)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C9H11F2N3O4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nucleoside antimetabolite (cytidine amino pKa = 4.3)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C4H3FN2O2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3385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pyrimidine ring (pKa = 8.02, ~80% neutral at pH 7.4)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C15H22FN3O6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60953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fluoropyrimidine carbamate prodrug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C33H38N4O6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60838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bipiperidine basic amine (pKa = 8.10)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C47H51NO14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36314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complex taxane diterpenoid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C20H22N8O5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126941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Deprotonated dicarboxylic glutamyl chain (pKa1=3.8, pKa2=4.8)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C29H32O13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36462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podophyllotoxin glycoside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C27H29NO11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31703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daunosamine primary aliphatic amine (pKa = 8.22)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C23H23N3O5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60700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dimethylaminomethyl basic amine (pKa = 8.50)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Dacarbazine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C6H10N6O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3053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imidazole triazene alkylator (pKa = 4.4)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Hydroxyurea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CH4N2O2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3657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ribonucleotide reductase inhibitor (pKa = 10.6)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Mitomycin C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C15H18N4O5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4221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aziridine antitumor antibiotic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Leucovorin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C20H23N7O7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6006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Deprotonated folinic dicarboxylic acid chain (pKa1=3.5, pKa2=4.6)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C20H21N5O6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446556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Deprotonated glutamate dicarboxylic acid (pKa1=3.6, pKa2=4.7)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Trabectedin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C39H43N3O11S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108150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tetrahydroisoquinoline basic amine (pKa = 8.12)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Futibatinib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C24H27ClFN7O2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118796472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nitrogen (pKa = 8.25)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Belumosudil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C26H24N6O2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71496458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ROCK2 kinase inhibitor (pKa = 4.8)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Pimicotinib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C24H27N7O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155168019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basic amine (pKa = 8.35)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Avapritinib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C26H27FN10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118705646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basic site (pKa = 8.40)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C21H25ClN6O2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25058174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piperidine aliphatic nitrogen (pKa = 8.90)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S3: OECD Principles 1–5 Compliance Checklist for QSPR Model Validation</w:t>
      </w:r>
    </w:p>
    <w:p>
      <w:r>
        <w:t>Formal compliance mapping of the regularized Ridge surrogate model against the Organization for Economic Co-operation and Development (OECD) Principles for the Validation of (Q)SAR Models (ENV/JM/MONO(2007)2).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331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Surrogate Model Implementation</w:t>
            </w:r>
          </w:p>
        </w:tc>
        <w:tc>
          <w:tcPr>
            <w:tcW w:type="dxa" w:w="331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Verification and Compliance Evidence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1: Defined Endpoint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Standardized electronic drug–carrier interaction energy (Delta_E_int,std, kcal/mol) on pristine 2D g-C3N4 nanocarrier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Evaluated via GFN2-xTB tight-binding quantum chemistry at standardized interplanar stacking geometry (z = 3.35 Å, SCC tolerance 1.0E-5 Eh).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2: Unambiguous Algorithm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Regularized Ridge Regression (L2 penalty, alpha = 1.0) with nested 5-fold cross-validation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Deterministic closed-form solution: beta = (X^T X + alpha*I)^(-1) X^T y. Hyperparameters and descriptor scalers fitted strictly inside training partition of each nested fold.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3: Defined Domain of Applicability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Hat-matrix leverage analysis with warning threshold h* = 3(p+1)/n = 0.455 and standardized residual boundary ±3sigma (Williams Plot)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Williams plot confirmed 32/33 (97.0%) training compounds within leverage and residual bounds. 328/350 (93.7%) screening candidates confirmed within AD.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4: Appropriate Measures of Goodness-of-fit, Robustness, and Predictivity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Outer-fold cross-validation (Q²_CV = +0.5696, RMSE = 5.201 kcal/mol, MAE = 4.194 kcal/mol); 1,000 Y-scrambling permutation iterations (mean Q²_scr = -0.2357, empirical p = 0.001)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Prospective quantum confirmation on 5 prioritized leads within AD yielded MAE_ext = 3.94 kcal/mol and RMSE_ext = 5.28 kcal/mol (squared Pearson r² = 0.6558).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5: Mechanistic Interpretation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Four pre-specified physicochemical and quantum-mechanical descriptors: Molecular Weight (MW), Polar Surface Area (PSA), Polarizability (alpha), Electrophilicity (omega)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Captures size-dependent dispersion (MW, alpha), polar electrostatic contact (PSA), and frontier-orbital electrophilic charge transfer (omega = mu^2 / 2*eta via GFN2-xTB eigenvalues).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S4: Raw Electronic Component Breakdown, Multi-Start Geometric Orientations, and Deformation Strain Analysis</w:t>
      </w:r>
    </w:p>
    <w:p>
      <w:r>
        <w:t>Detailed quantum mechanical energy decomposition for MRTX1133, 5-Fluorouracil, and Gemcitabine on 2D g-C3N4. The standardized electronic interaction energy (Delta_E_int,std = E_complex - [E_sheet + E_drug,complex]) evaluates the vertical electronic interaction at standardized fixed stacking (z = 3.35 Å) without confounding intramolecular conformational strain penalties (Delta_E_def). When evaluated relative to the fully relaxed isolated drug in vacuum (E_drug,opt), the ligand deformation penalty (Delta_E_def = E_drug,complex - E_drug,opt = +34.65 kcal/mol for MRTX1133) explains the transition from Delta_E_int,std = -35.03 kcal/mol to Delta_E_ads,rel = -0.38 kcal/mol.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Computational Protocol / Run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E_complex (Eh)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E_sheet (Eh)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E_drug (Eh)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Delta_E_def (kcal/mol)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Delta_E_int (kcal/mol)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Physical Description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Master Protocol (Standardized Rigid Interaction, Delta_E_int,std)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-234.173301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-126.352121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-35.03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Pure vertical donor-acceptor electronic stabilization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0 deg (Relaxed relative to isolated gas-phase minimum)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-234.173301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+34.65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-0.38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Includes +34.65 kcal/mol internal ligand deformation penalty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+90 deg (In-plane rotated)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-234.174179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+34.65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-0.93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Rotated relative to heptazine triangular pore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180 deg (Inverted flip)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-234.180646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+34.65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-4.99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Pyrrolopyrimidine face directed toward carrier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Master Protocol (Standardized Rigid Interaction, Delta_E_int,std)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-136.603882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Vertical pi-pi contact at z = 3.35 Å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0 deg (Parallel Stacking)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-136.600840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+0.32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-3.07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Planar ring centered over heptazine core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+90 deg (In-Plane Rotated)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-136.614861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+0.25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-11.87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Carbonyl O atom aligned with bridging NH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180 deg (Inverted Flip)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-136.608224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+0.28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-7.71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Fluorine atom directed toward electron-deficient C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Master Protocol (Standardized Rigid Interaction, Delta_E_int,std)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-167.204368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Standardized ribose + difluoropyrimidine placement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0 deg (Parallel Stacking)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-167.189596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-59.424297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+3.00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-2.97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Ribose ring puckering adjustment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+90 deg (In-Plane Rotated)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-167.183439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-59.424297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+3.00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+0.90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Steric clash with heptazine perimeter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Multi-start 180 deg (Inverted Flip)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-167.199756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-59.424297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+3.00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-9.34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F-atoms engaging basic triazine nitrogen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S5: High-Level DFT (B3LYP-D3BJ/def2-SVP vs GFN2-xTB) Multi-Level Quantum Benchmark across 8 Diverse Systems</w:t>
      </w:r>
    </w:p>
    <w:p>
      <w:r>
        <w:t>Validation of the tight-binding GFN2-xTB quantum interaction energies against full density functional theory (DFT) single-point calculations (ORCA 6.1.1, B3LYP-D3BJ / def2-SVP, TightSCF, RIJCOSX approximation) across 8 structurally and pharmacologically diverse oncology therapeutics. The comparison demonstrates excellent rank preservation (Spearman rank correlation rho = 0.96, p = 0.0001) and low mean absolute error (MAE = 2.14 kcal/mol, RMSE = 2.68 kcal/mol).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Structural / Pharmacological Class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Formula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Atoms (Complex)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GFN2-xTB (kcal/mol)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B3LYP-D3BJ (kcal/mol)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Delta (kcal/mol)</w:t>
            </w:r>
          </w:p>
        </w:tc>
        <w:tc>
          <w:tcPr>
            <w:tcW w:type="dxa" w:w="124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Abs Error (kcal/mol)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Small Pyrimidine Antimetabolite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C4H3FN2O2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-4.62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+0.36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0.36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Difluoronucleoside Antimetabolite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C9H11F2N3O4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-13.85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-1.62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1.62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Aromatic Quinazoline TKI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C22H23N3O4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-17.76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-16.20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+1.56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1.56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Halogenated (Br, Cl, F) MEK Inhibitor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C17H15BrClFN4O3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-12.90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-2.37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2.37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Sulfonamide MTA-Cooperative Inhibitor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C26H28F2N6O2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-21.06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-23.40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-2.34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2.34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Futibatinib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FGFR / Prioritized Lead Candidate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C24H27ClFN7O2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-24.67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-26.95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-2.28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2.28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Pyrrolopyrimidine KRAS-G12D Lead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C23H25F2N5O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123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-35.03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-32.80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+2.23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2.23</w:t>
            </w:r>
          </w:p>
        </w:tc>
      </w:tr>
      <w:tr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Poly-nitrogenous Folate Antagonist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C20H22N8O5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-39.17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-43.50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-4.33</w:t>
            </w:r>
          </w:p>
        </w:tc>
        <w:tc>
          <w:tcPr>
            <w:tcW w:type="dxa" w:w="124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4.33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Section S2: Computational Infrastructure, Software Versions, and Open-Source Repository Specifications</w:t>
      </w:r>
    </w:p>
    <w:p>
      <w:r>
        <w:t>All computational scripts, docking input configurations, PDBQT coordinates, quantum mechanical geometry logs, descriptor calculation matrices, and surrogate QSPR models are made available under an open-source MIT license.</w:t>
        <w:br/>
        <w:t>• Primary Public Repository: https://github.com/sircalch/kras-pancreatic-gc3n4-ai (Release v1.0.0, commit verified)</w:t>
        <w:br/>
        <w:t>• Permanent Archival DOI: Zenodo Repository DOI: 10.5281/zenodo.22187819</w:t>
        <w:br/>
        <w:t>• Software Ecosystem: AutoDock Vina v1.2.7, ORCA v6.1.1, xTB v6.7.1, RDKit v2024.03.1, Python v3.12.3, scikit-learn v1.4.2, NumPy v1.26.4, SciPy v1.13.0.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