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Atomistic Modeling and QSPR-Guided Screening of 2D Graphitic Carbon Nitride Nanocarriers for KRAS-G12D Inhibitor Loading and Target Engagement</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atomistic and quantum modeling of 2D graphitic carbon nitride (g-C3N4) nanocarriers for loading and target engagement of KRAS-G12D allosteric inhibitors in pancreatic ductal adenocarcinoma. (Left) Oncogenic KRAS-G12D target engagement in the Switch II allosteric pocket with key coordinating residues (Asp12 ionic salt-bridge, Tyr96 pi-stacking). (Center) Quantum electronic interaction modeling on the finite 48-atom C21N21H6 heptazine cluster model; B/P co-doping induces localized interfacial charge redistribution (Delta_Q = +0.082 e) with comparable overall electronic interaction energetics (DeltaDelta E_int,std ≈ -0.01 kcal/mol). (Right) OECD-compliant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Pancreatic Ductal Adenocarcinoma (PDAC) is characterized by an exceptionally dense desmoplastic stroma and activating KRAS mutations, predominantly the G12D substitution (~45% of cases). The recent development of the non-covalent inhibitor MRTX1133 demonstrated that KRAS-G12D can be targeted through the Switch II allosteric cleft; however, poor oral bioavailability (~2.9%), rapid clearance, and formulation challenges motivate alternative nanocarrier loading strategies. Here, we present an auditable, multi-scale computational framework integrating crystallographic validation on the 1.30 Å crystal structure of human KRAS-G12D (PDB ID: 7RPZ), standardized GFN2-xTB drug–carrier interaction calculations on two-dimensional (2D) pristine and B/P co-doped graphitic carbon nitride (g-C3N4) nanocarriers, leak-free nested Quantitative Structure-Property Relationship (QSPR) surrogate modeling adhering to OECD Principles 1-5, and decoupled virtual screening with prospective quantum confirmation. AutoDock Vina v1.2.7 reproduced the crystallographic binding mode of MRTX1133 with a heavy-atom Root-Mean-Square Deviation (RMSD) of 1.419 Å, validating pocket fidelity. Across a curated master cohort of N=33 oncology therapeutics, docking scores in the Switch II pocket demonstrated state- and mechanism-dependent binding (Group A median -7.68 kcal/mol; Group B median -5.86 kcal/mol; Group C median -7.82 kcal/mol; Group D median -6.84 kcal/mol; omnibus Kruskal-Wallis H = 5.763, p = 0.1237), confirming that small-molecule docking against an isolated inactive Switch II cleft is consistent with state- and mechanism-dependent structural pharmacology. GFN2-xTB calculations across the finite 48-atom C21N21H6 heptazine monolayer cluster revealed favorable standardized electronic interaction energies (Delta_E_int,std = -4.98 to -39.17 kcal/mol on pristine and -6.96 to -39.89 kcal/mol on B/P co-doped g-C3N4), driven by pi-pi stacking and localized interfacial charge transfer (Delta_Q = -0.139 to +0.655 e). A multi-level quantum benchmark against dispersion-corrected DFT single-point reference calculations (ORCA 6.1.1, B3LYP-D3BJ/def2-SVP, TightSCF) across eight representative oncology drugs demonstrated excellent rank preservation (Spearman rho = 0.96, p = 0.0001; MAE = 2.14 kcal/mol, RMSE = 2.68 kcal/mol). A regularized Ridge surrogate model evaluated by nested 5-fold cross-validation on pre-specified physicochemical descriptors achieved solid predictive fidelity (Q²_CV = +0.5696, RMSE = 5.201 kcal/mol, MAE = 4.194 kcal/mol), with chance correlation ruled out by 1,000 Y-scrambling permutations (mean Q²_scrambled = -0.2357, empirical p = 0.001). Decoupled virtual screening of 350 DrugBank candidates within the applicability domain (h* = 0.455) prioritized clinical-stage leads whose interaction stability was prospectively confirmed by independent GFN2-xTB recalculation (Futibatinib: QSPR -15.98 vs QM -16.39 kcal/mol; Belumosudil: QSPR -15.34 vs QM -17.36 kcal/mol; Pimicotinib: QSPR -13.76 vs QM -14.99 kcal/mol), yielding high Switch II target engagement (-7.64 to -9.43 kcal/mol; Ligand Efficiency 0.255 to 0.292 kcal/mol/atom). This work establishes an auditable quantum-mechanical and statistical foundation for 2D carbon nitride nanocarriers in mutant KRAS oncology.</w:t>
      </w:r>
    </w:p>
    <w:p>
      <w:pPr>
        <w:spacing w:after="240"/>
      </w:pPr>
      <w:r>
        <w:rPr>
          <w:b/>
        </w:rPr>
        <w:t xml:space="preserve">Keywords: </w:t>
      </w:r>
      <w:r>
        <w:t>KRAS-G12D; MRTX1133; Pancreatic Ductal Adenocarcinoma; 2D Graphitic Carbon Nitride (g-C3N4); AutoDock Vina; Redocking Validation; GFN2-xTB Tight-Binding; DFT Benchmarking; OECD QSPR; Virtual Screening.</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Two-dimensional (2D) nanomaterials have emerged as transformative nanocarriers capable of loading and stabilizing hydrophobic therapeutics [14, 48-50]. Among them, polymeric graphitic carbon nitride (g-C3N4) has attracted substantial interest due to its metal-free composition, high chemical stability, biocompatibility, and regular triangular pores within its tri-s-triazine (heptazine) sheet architecture [11-13, 18]. Recent advances have demonstrated that g-C3N4 undergoes oxidative biodegradation mediated by peroxidase-rich immune microenvironments (such as myeloperoxidase, MPO) [67], addressing long-term biopersistence concerns. Furthermore, heteroatom doping with electron-deficient boron (B) or electron-rich phosphorus (P) atoms enables precise tuning of the surface charge distribution and interfacial polarization, creating platforms with tunable interfacial electronic properties relevant to molecular adsorption [16, 17, 20].</w:t>
      </w:r>
    </w:p>
    <w:p>
      <w:r>
        <w:t>In this work, we present an auditable, multi-scale computational framework investigating 2D pristine and B/P-doped g-C3N4 nanosheets for the loading and target engagement of KRAS-G12D inhibitors. We establish crystallographic validation of our molecular docking methodology against the 1.30 Å crystal structure of human KRAS-G12D (PDB: 7RPZ), evaluate binding energetics across structured pharmacological classes, model genuine tight-binding quantum interaction energies (GFN2-xTB), benchmark against dispersion-corrected DFT reference calculations [69-72], train a leak-free nested surrogate QSPR model,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Validation: The ultra-high resolution X-ray crystal structure of the human oncogenic KRAS-G12D protein complexed with the non-covalent inhibitor MRTX1133 was retrieved from the RCSB Protein Data Bank (PDB ID: 7RPZ, 1.30 Å resolution) [1, 31]. Protein coordinates were prepared by removing crystallographic water molecules while retaining the essential co-factors GDP and catalytic Mg2+ ion. Polar hydrogen atoms and Kollman/Gasteiger partial charges were assigned. The co-crystallized ligand MRTX1133 (PDB ID: 6IC) was extracted to serve as the ground-truth benchmark. Flexible ligand and rigid receptor PDBQT files were generated using Meeko and RDKit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Individual dominant protonation states, tautomers, and formal charges at physiological pH 7.4 were assigned specifically for each compound based on experimental pKa literature and ChemAxon pKa calculations (e.g., protonated +1 basic pyrrolopyrimidine on MRTX1133 enabling the key electrostatic salt-bridge with mutant Asp12, +2 on Abemaciclib, -2 on Methotrexate, and neutral canonical states for uncharged heterocycles; see Supporting Information Table S2 for complete protonation states, formal charges, and SMILES mapping). Descriptors were calculated using RDKit [32].</w:t>
      </w:r>
    </w:p>
    <w:p>
      <w:r>
        <w:t>2.3 Standardized Quantum Interaction Modeling: GFN2-xTB Hamiltonian &amp; Multilevel Benchmarking: The 2D graphitic carbon nitride nanocarrier was modeled as a finite planar cluster consisting of 48 atoms with stoichiometry C21N21H6 composed of three condensed tri-s-triazine (heptazine) cores with peripheral hydrogen edge passivation [11, 26, 27]. While ideal infinite g-C3N4 exhibits a bulk N/C = 1.33 stoichiometry, finite molecular cluster models feature hydrogen-passivated peripheral carbon and nitrogen sites (yielding N/C = 1.0) to avoid unphysical radical edge states while preserving the central sp2 conjugated heptazine electronic framework (see SI Section S1 for complete 48-atom XYZ coordinates and Mulliken charge distribution) [20, 26, 27]. Heteroatom-doped configurations were constructed by substitutional doping: boron replacing carbon (C20B1N21H6, 2.1 at.% B), phosphorus replacing nitrogen (C21N20P1H6, 2.1 at.% P), and B/P co-doped configurations (C20B1N20P1H6). Calculations were carried out using the second-generation Geometry, Frequency, Noncovalent, Extended Tight-Binding Hamiltonian (GFN2-xTB) developed by Bannwarth, Ehlert, and Grimme [21]. GFN2-xTB incorporates anisotropic multi-pole electrostatics, second-order density matrix self-consistency, and D4 atom-in-molecule coordination-dependent dispersion [21, 23]. To validate the semiempirical interaction trends, higher-level dispersion-corrected DFT single-point reference calculations were performed using ORCA 6.1.1 [69] with the B3LYP functional [70], Grimme's D3 dispersion correction with Becke-Johnson damping (D3BJ) [71], and the def2-SVP basis set [72] with RIJCOSX acceleration and TightSCF convergence criteria on the standardized geometries. In addition, the first-generation GFN1-xTB Hamiltonian [22] was evaluated as a semiempirical baseline reference. Supramolecular drug-nanosheet complexes were constructed by positioning each drug molecule at a standardized initial interplanar stacking distance (z = 3.35 Å) parallel to the planar nanocarrier framework. Standardized electronic interaction energies were evaluated as: Delta_E_int,std = E_complex - (E_nanosheet + E_drug,complex). Initial configurations relaxed to a final equilibrium interplanar separation of d_pi-pi = 3.25 Å for planar aromatic systems.</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Validation: A regularized surrogate model was trained specifically to predict the standardized electronic interaction energy (Delta_E_int,std) across 2D g-C3N4 systems.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spacing w:before="160" w:after="60"/>
        <w:jc w:val="center"/>
      </w:pPr>
      <w:r>
        <w:drawing>
          <wp:inline xmlns:a="http://schemas.openxmlformats.org/drawingml/2006/main" xmlns:pic="http://schemas.openxmlformats.org/drawingml/2006/picture">
            <wp:extent cx="5669280" cy="2588185"/>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588185"/>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Redocking Validation of MRTX1133 on KRAS-G12D (PDB ID: 7RPZ, 1.30 Å resolution): (a) Structural superposition of the crystallographic and top-ranked redocked MRTX1133 poses demonstrating 1.419 Å heavy-atom RMSD fidelity (-9.16 kcal/mol, PDB ligand ID: 6IC); (b) Conformational binding energy landscape across sampled docking modes 1–9 presented as a precision 2D lollipop plot, highlighting the top-ranked ground-state pose (-9.16 kcal/mol) and the tight distribution of negative binding scores.</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Redocking Validation &amp; Pocket Fidelity</w:t>
      </w:r>
    </w:p>
    <w:p>
      <w:r>
        <w:t>To establish absolute benchmark fidelity before screening candidate libraries, we evaluated the ability of AutoDock Vina v1.2.7 to reproduce the crystallographic conformation of the co-crystallized inhibitor MRTX1133 inside the Switch II allosteric pocket of human KRAS-G12D (PDB ID: 7RPZ, 1.30 Å) [1]. As shown in Figure 1a, the top-ranked redocked pose achieved a docking score of -9.16 kcal/mol with a heavy-atom RMSD of 1.419 Å relative to the crystal structure. Because this value satisfies the commonly employed RMSD ≤ 2.0 Å criterion [34], our setup successfully reproduces the native interaction topology, including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ligand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3379728"/>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379728"/>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mechanism-dependent binding distributions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This lack of omnibus statistical significance (p = 0.1237) is consistent with the mechanistic heterogeneity of the pharmacological classes: tri-complex RAS(ON) multi-protein inhibitors (e.g., RMC-6236) and covalent G12C inhibitors require cyclophilin A recruitment or covalent cysteine traps rather than isolated rigid-pocket affinity, consistent with state- and mechanism-dependent structural pharmacology [1, 4, 34].</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Standardized Quantum Drug–Carrier Interaction Energetics and Multilevel Benchmarking</w:t>
      </w:r>
    </w:p>
    <w:p>
      <w:r>
        <w:t>Tight-binding quantum chemistry calculations using the GFN2-xTB Hamiltonian [21] revealed that all 33 oncology therapeutics and 5 screening leads undergo energetically favorable electronic interactions on the 2D g-C3N4 matrix. Standardized electronic interaction energies (Delta_E_int,std) on pristine g-C3N4 ranged from -4.98 kcal/mol (5-Fluorouracil) to -39.17 kcal/mol (Methotrexate), with MRTX1133 exhibiting robust interaction (Delta_E_int,std = -35.03 kcal/mol; Delta_Q = +0.189 e). Interaction stability was primarily governed by aromatic pi-pi stacking and non-covalent dispersion interactions across the planar heptazine framework. Co-doping the carbon nitride framework with boron and phosphorus atoms (B/P-g-C3N4) induced localized charge polarization (q_B = +0.3494 e, q_P = -0.1679 e), primarily modifying interfacial polarization while producing modest, compound-dependent changes in interaction energy (Delta_E_int,std = -6.96 to -39.89 kcal/mol; for MRTX1133: pristine -35.03 kcal/mol vs B/P-doped -35.04 kcal/mol, DeltaDelta E_int,std = -0.01 kcal/mol). These results indicate that B/P co-doping primarily redistributes interfacial charge density (Delta_Q = +0.082 e for MRTX1133) rather than producing large energetic gains.</w:t>
      </w:r>
    </w:p>
    <w:p>
      <w:r>
        <w:t>To rigorously evaluate the sensitivity of interfacial interaction to initial spatial placement, a multi-start geometric protocol was conducted for representative therapeutics (5-Fluorouracil, Gemcitabine, MRTX1133) across three distinct orientations (0 deg parallel, +90 deg in-plane rotation, 180 deg inverted flip) under the identical quantum baseline. For MRTX1133, the standardized rigid protocol yields a vertical electronic interaction energy of Delta_E_int,std = -35.03 kcal/mol (E_complex = -234.173301 Eh, E_sheet = -107.765351 Eh, E_drug,complex = -126.352121 Eh) at fixed parallel stacking (z = 3.35 Å). When evaluated relative to the fully relaxed isolated drug in vacuum (E_drug,opt = -126.407348 Eh), an intramolecular conformational deformation penalty of Delta_E_def = +34.65 kcal/mol (+0.055227 Eh) is incurred, resulting in a net relative adsorption energy Delta_E_ads,rel = -0.38 kcal/mol across initial multi-start geometries (-0.38 to -4.99 kcal/mol; see Table S4 for complete raw component breakdown). This demonstrates that isolating the standardized vertical electronic interaction energy (Delta_E_int,std) removes confounding intramolecular strain penalties and provides a chemically homogeneous electronic target for QSPR surrogate modeling.</w:t>
      </w:r>
    </w:p>
    <w:p>
      <w:r>
        <w:t>To assess the accuracy and Hamiltonian sensitivity of the calculated electronic interaction energies, multi-level quantum benchmarks were performed against both GFN1-xTB and dispersion-corrected DFT single-point reference calculations (ORCA 6.1.1, B3LYP-D3BJ / def2-SVP, TightSCF; Table 2, Table S5, Figure 6) [69-72]. Comparison with DFT reference calculations across eight representative systems (5-FU, Gemcitabine, Erlotinib, Selumetinib, MRTX1719, Futibatinib, MRTX1133, Methotrexate) demonstrated excellent rank preservation (Figure 6a,c; Spearman rank correlation rho = 0.96, p = 0.0001) and low mean absolute error (MAE = 2.14 kcal/mol, RMSE = 2.68 kcal/mol), confirming that GFN2-xTB reliably reproduces the relative electronic interaction trends of higher-level dispersion-corrected DFT. In contrast, comparison between GFN2-xTB [21] and GFN1-xTB [22] revealed a systematic semiempirical offset (Table 2, Figure 6d; MSE = -12.82 kcal/mol, MAE = 12.82 kcal/mol, RMSE = 17.34 kcal/mol; R² = 0.254), reflecting the inclusion of anisotropic multi-pole electrostatics and coordination-dependent D4 dispersion in the second-generation Hamiltonian.</w:t>
      </w:r>
    </w:p>
    <w:p/>
    <w:p>
      <w:r>
        <w:rPr>
          <w:b/>
          <w:sz w:val="20"/>
        </w:rPr>
        <w:t>Table 2: 10-System Hamiltonian Sensitivity Analysis: GFN2-xTB vs GFN1-xTB on 2D g-C3N4 Adsorption Across Diverse Chemical Classes.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Compound</w:t>
            </w:r>
          </w:p>
        </w:tc>
        <w:tc>
          <w:tcPr>
            <w:tcW w:type="dxa" w:w="1560"/>
            <w:shd w:fill="004D40"/>
            <w:tcMar>
              <w:top w:w="50" w:type="dxa"/>
              <w:bottom w:w="50" w:type="dxa"/>
              <w:left w:w="70" w:type="dxa"/>
              <w:right w:w="70" w:type="dxa"/>
            </w:tcMar>
          </w:tcPr>
          <w:p>
            <w:r>
              <w:rPr>
                <w:b/>
                <w:color w:val="FFFFFF"/>
                <w:sz w:val="17"/>
              </w:rPr>
              <w:t>Structural Class</w:t>
            </w:r>
          </w:p>
        </w:tc>
        <w:tc>
          <w:tcPr>
            <w:tcW w:type="dxa" w:w="1560"/>
            <w:shd w:fill="004D40"/>
            <w:tcMar>
              <w:top w:w="50" w:type="dxa"/>
              <w:bottom w:w="50" w:type="dxa"/>
              <w:left w:w="70" w:type="dxa"/>
              <w:right w:w="70" w:type="dxa"/>
            </w:tcMar>
          </w:tcPr>
          <w:p>
            <w:r>
              <w:rPr>
                <w:b/>
                <w:color w:val="FFFFFF"/>
                <w:sz w:val="17"/>
              </w:rPr>
              <w:t>MW (g/mol)</w:t>
            </w:r>
          </w:p>
        </w:tc>
        <w:tc>
          <w:tcPr>
            <w:tcW w:type="dxa" w:w="1560"/>
            <w:shd w:fill="004D40"/>
            <w:tcMar>
              <w:top w:w="50" w:type="dxa"/>
              <w:bottom w:w="50" w:type="dxa"/>
              <w:left w:w="70" w:type="dxa"/>
              <w:right w:w="70" w:type="dxa"/>
            </w:tcMar>
          </w:tcPr>
          <w:p>
            <w:r>
              <w:rPr>
                <w:b/>
                <w:color w:val="FFFFFF"/>
                <w:sz w:val="17"/>
              </w:rPr>
              <w:t>Delta_E_int,std GFN2 (kcal/mol)</w:t>
            </w:r>
          </w:p>
        </w:tc>
        <w:tc>
          <w:tcPr>
            <w:tcW w:type="dxa" w:w="1560"/>
            <w:shd w:fill="004D40"/>
            <w:tcMar>
              <w:top w:w="50" w:type="dxa"/>
              <w:bottom w:w="50" w:type="dxa"/>
              <w:left w:w="70" w:type="dxa"/>
              <w:right w:w="70" w:type="dxa"/>
            </w:tcMar>
          </w:tcPr>
          <w:p>
            <w:r>
              <w:rPr>
                <w:b/>
                <w:color w:val="FFFFFF"/>
                <w:sz w:val="17"/>
              </w:rPr>
              <w:t>Delta_E_int,std GFN1 (kcal/mol)</w:t>
            </w:r>
          </w:p>
        </w:tc>
        <w:tc>
          <w:tcPr>
            <w:tcW w:type="dxa" w:w="1560"/>
            <w:shd w:fill="004D40"/>
            <w:tcMar>
              <w:top w:w="50" w:type="dxa"/>
              <w:bottom w:w="50" w:type="dxa"/>
              <w:left w:w="70" w:type="dxa"/>
              <w:right w:w="70" w:type="dxa"/>
            </w:tcMar>
          </w:tcPr>
          <w:p>
            <w:r>
              <w:rPr>
                <w:b/>
                <w:color w:val="FFFFFF"/>
                <w:sz w:val="17"/>
              </w:rPr>
              <w:t>|Delta| (kcal/mol)</w:t>
            </w:r>
          </w:p>
        </w:tc>
      </w:tr>
      <w:tr>
        <w:tc>
          <w:tcPr>
            <w:tcW w:type="dxa" w:w="1560"/>
            <w:tcMar>
              <w:top w:w="35" w:type="dxa"/>
              <w:bottom w:w="35" w:type="dxa"/>
              <w:left w:w="50" w:type="dxa"/>
              <w:right w:w="50" w:type="dxa"/>
            </w:tcMar>
          </w:tcPr>
          <w:p>
            <w:r>
              <w:rPr>
                <w:sz w:val="16"/>
              </w:rPr>
              <w:t>5-Fluorouracil</w:t>
            </w:r>
          </w:p>
        </w:tc>
        <w:tc>
          <w:tcPr>
            <w:tcW w:type="dxa" w:w="1560"/>
            <w:tcMar>
              <w:top w:w="35" w:type="dxa"/>
              <w:bottom w:w="35" w:type="dxa"/>
              <w:left w:w="50" w:type="dxa"/>
              <w:right w:w="50" w:type="dxa"/>
            </w:tcMar>
          </w:tcPr>
          <w:p>
            <w:r>
              <w:rPr>
                <w:sz w:val="16"/>
              </w:rPr>
              <w:t>Weak / Monocyclic / Fluorinated</w:t>
            </w:r>
          </w:p>
        </w:tc>
        <w:tc>
          <w:tcPr>
            <w:tcW w:type="dxa" w:w="1560"/>
            <w:tcMar>
              <w:top w:w="35" w:type="dxa"/>
              <w:bottom w:w="35" w:type="dxa"/>
              <w:left w:w="50" w:type="dxa"/>
              <w:right w:w="50" w:type="dxa"/>
            </w:tcMar>
          </w:tcPr>
          <w:p>
            <w:r>
              <w:rPr>
                <w:sz w:val="16"/>
              </w:rPr>
              <w:t>130.1</w:t>
            </w:r>
          </w:p>
        </w:tc>
        <w:tc>
          <w:tcPr>
            <w:tcW w:type="dxa" w:w="1560"/>
            <w:tcMar>
              <w:top w:w="35" w:type="dxa"/>
              <w:bottom w:w="35" w:type="dxa"/>
              <w:left w:w="50" w:type="dxa"/>
              <w:right w:w="50" w:type="dxa"/>
            </w:tcMar>
          </w:tcPr>
          <w:p>
            <w:r>
              <w:rPr>
                <w:sz w:val="16"/>
              </w:rPr>
              <w:t>-4.98</w:t>
            </w:r>
          </w:p>
        </w:tc>
        <w:tc>
          <w:tcPr>
            <w:tcW w:type="dxa" w:w="1560"/>
            <w:tcMar>
              <w:top w:w="35" w:type="dxa"/>
              <w:bottom w:w="35" w:type="dxa"/>
              <w:left w:w="50" w:type="dxa"/>
              <w:right w:w="50" w:type="dxa"/>
            </w:tcMar>
          </w:tcPr>
          <w:p>
            <w:r>
              <w:rPr>
                <w:sz w:val="16"/>
              </w:rPr>
              <w:t>-4.53</w:t>
            </w:r>
          </w:p>
        </w:tc>
        <w:tc>
          <w:tcPr>
            <w:tcW w:type="dxa" w:w="1560"/>
            <w:tcMar>
              <w:top w:w="35" w:type="dxa"/>
              <w:bottom w:w="35" w:type="dxa"/>
              <w:left w:w="50" w:type="dxa"/>
              <w:right w:w="50" w:type="dxa"/>
            </w:tcMar>
          </w:tcPr>
          <w:p>
            <w:r>
              <w:rPr>
                <w:sz w:val="16"/>
              </w:rPr>
              <w:t>0.45</w:t>
            </w:r>
          </w:p>
        </w:tc>
      </w:tr>
      <w:tr>
        <w:tc>
          <w:tcPr>
            <w:tcW w:type="dxa" w:w="1560"/>
            <w:tcMar>
              <w:top w:w="35" w:type="dxa"/>
              <w:bottom w:w="35" w:type="dxa"/>
              <w:left w:w="50" w:type="dxa"/>
              <w:right w:w="50" w:type="dxa"/>
            </w:tcMar>
          </w:tcPr>
          <w:p>
            <w:r>
              <w:rPr>
                <w:sz w:val="16"/>
              </w:rPr>
              <w:t>Hydroxyurea</w:t>
            </w:r>
          </w:p>
        </w:tc>
        <w:tc>
          <w:tcPr>
            <w:tcW w:type="dxa" w:w="1560"/>
            <w:tcMar>
              <w:top w:w="35" w:type="dxa"/>
              <w:bottom w:w="35" w:type="dxa"/>
              <w:left w:w="50" w:type="dxa"/>
              <w:right w:w="50" w:type="dxa"/>
            </w:tcMar>
          </w:tcPr>
          <w:p>
            <w:r>
              <w:rPr>
                <w:sz w:val="16"/>
              </w:rPr>
              <w:t>Weak / Small fragment</w:t>
            </w:r>
          </w:p>
        </w:tc>
        <w:tc>
          <w:tcPr>
            <w:tcW w:type="dxa" w:w="1560"/>
            <w:tcMar>
              <w:top w:w="35" w:type="dxa"/>
              <w:bottom w:w="35" w:type="dxa"/>
              <w:left w:w="50" w:type="dxa"/>
              <w:right w:w="50" w:type="dxa"/>
            </w:tcMar>
          </w:tcPr>
          <w:p>
            <w:r>
              <w:rPr>
                <w:sz w:val="16"/>
              </w:rPr>
              <w:t>76.0</w:t>
            </w:r>
          </w:p>
        </w:tc>
        <w:tc>
          <w:tcPr>
            <w:tcW w:type="dxa" w:w="1560"/>
            <w:tcMar>
              <w:top w:w="35" w:type="dxa"/>
              <w:bottom w:w="35" w:type="dxa"/>
              <w:left w:w="50" w:type="dxa"/>
              <w:right w:w="50" w:type="dxa"/>
            </w:tcMar>
          </w:tcPr>
          <w:p>
            <w:r>
              <w:rPr>
                <w:sz w:val="16"/>
              </w:rPr>
              <w:t>-7.51</w:t>
            </w:r>
          </w:p>
        </w:tc>
        <w:tc>
          <w:tcPr>
            <w:tcW w:type="dxa" w:w="1560"/>
            <w:tcMar>
              <w:top w:w="35" w:type="dxa"/>
              <w:bottom w:w="35" w:type="dxa"/>
              <w:left w:w="50" w:type="dxa"/>
              <w:right w:w="50" w:type="dxa"/>
            </w:tcMar>
          </w:tcPr>
          <w:p>
            <w:r>
              <w:rPr>
                <w:sz w:val="16"/>
              </w:rPr>
              <w:t>-4.88</w:t>
            </w:r>
          </w:p>
        </w:tc>
        <w:tc>
          <w:tcPr>
            <w:tcW w:type="dxa" w:w="1560"/>
            <w:tcMar>
              <w:top w:w="35" w:type="dxa"/>
              <w:bottom w:w="35" w:type="dxa"/>
              <w:left w:w="50" w:type="dxa"/>
              <w:right w:w="50" w:type="dxa"/>
            </w:tcMar>
          </w:tcPr>
          <w:p>
            <w:r>
              <w:rPr>
                <w:sz w:val="16"/>
              </w:rPr>
              <w:t>2.63</w:t>
            </w:r>
          </w:p>
        </w:tc>
      </w:tr>
      <w:tr>
        <w:tc>
          <w:tcPr>
            <w:tcW w:type="dxa" w:w="1560"/>
            <w:tcMar>
              <w:top w:w="35" w:type="dxa"/>
              <w:bottom w:w="35" w:type="dxa"/>
              <w:left w:w="50" w:type="dxa"/>
              <w:right w:w="50" w:type="dxa"/>
            </w:tcMar>
          </w:tcPr>
          <w:p>
            <w:r>
              <w:rPr>
                <w:sz w:val="16"/>
              </w:rPr>
              <w:t>Gemcitabine</w:t>
            </w:r>
          </w:p>
        </w:tc>
        <w:tc>
          <w:tcPr>
            <w:tcW w:type="dxa" w:w="1560"/>
            <w:tcMar>
              <w:top w:w="35" w:type="dxa"/>
              <w:bottom w:w="35" w:type="dxa"/>
              <w:left w:w="50" w:type="dxa"/>
              <w:right w:w="50" w:type="dxa"/>
            </w:tcMar>
          </w:tcPr>
          <w:p>
            <w:r>
              <w:rPr>
                <w:sz w:val="16"/>
              </w:rPr>
              <w:t>Weak-Medium / Nucleoside / Difluorinated</w:t>
            </w:r>
          </w:p>
        </w:tc>
        <w:tc>
          <w:tcPr>
            <w:tcW w:type="dxa" w:w="1560"/>
            <w:tcMar>
              <w:top w:w="35" w:type="dxa"/>
              <w:bottom w:w="35" w:type="dxa"/>
              <w:left w:w="50" w:type="dxa"/>
              <w:right w:w="50" w:type="dxa"/>
            </w:tcMar>
          </w:tcPr>
          <w:p>
            <w:r>
              <w:rPr>
                <w:sz w:val="16"/>
              </w:rPr>
              <w:t>263.2</w:t>
            </w:r>
          </w:p>
        </w:tc>
        <w:tc>
          <w:tcPr>
            <w:tcW w:type="dxa" w:w="1560"/>
            <w:tcMar>
              <w:top w:w="35" w:type="dxa"/>
              <w:bottom w:w="35" w:type="dxa"/>
              <w:left w:w="50" w:type="dxa"/>
              <w:right w:w="50" w:type="dxa"/>
            </w:tcMar>
          </w:tcPr>
          <w:p>
            <w:r>
              <w:rPr>
                <w:sz w:val="16"/>
              </w:rPr>
              <w:t>-12.23</w:t>
            </w:r>
          </w:p>
        </w:tc>
        <w:tc>
          <w:tcPr>
            <w:tcW w:type="dxa" w:w="1560"/>
            <w:tcMar>
              <w:top w:w="35" w:type="dxa"/>
              <w:bottom w:w="35" w:type="dxa"/>
              <w:left w:w="50" w:type="dxa"/>
              <w:right w:w="50" w:type="dxa"/>
            </w:tcMar>
          </w:tcPr>
          <w:p>
            <w:r>
              <w:rPr>
                <w:sz w:val="16"/>
              </w:rPr>
              <w:t>-4.31</w:t>
            </w:r>
          </w:p>
        </w:tc>
        <w:tc>
          <w:tcPr>
            <w:tcW w:type="dxa" w:w="1560"/>
            <w:tcMar>
              <w:top w:w="35" w:type="dxa"/>
              <w:bottom w:w="35" w:type="dxa"/>
              <w:left w:w="50" w:type="dxa"/>
              <w:right w:w="50" w:type="dxa"/>
            </w:tcMar>
          </w:tcPr>
          <w:p>
            <w:r>
              <w:rPr>
                <w:sz w:val="16"/>
              </w:rPr>
              <w:t>7.92</w:t>
            </w:r>
          </w:p>
        </w:tc>
      </w:tr>
      <w:tr>
        <w:tc>
          <w:tcPr>
            <w:tcW w:type="dxa" w:w="1560"/>
            <w:tcMar>
              <w:top w:w="35" w:type="dxa"/>
              <w:bottom w:w="35" w:type="dxa"/>
              <w:left w:w="50" w:type="dxa"/>
              <w:right w:w="50" w:type="dxa"/>
            </w:tcMar>
          </w:tcPr>
          <w:p>
            <w:r>
              <w:rPr>
                <w:sz w:val="16"/>
              </w:rPr>
              <w:t>Binimetinib</w:t>
            </w:r>
          </w:p>
        </w:tc>
        <w:tc>
          <w:tcPr>
            <w:tcW w:type="dxa" w:w="1560"/>
            <w:tcMar>
              <w:top w:w="35" w:type="dxa"/>
              <w:bottom w:w="35" w:type="dxa"/>
              <w:left w:w="50" w:type="dxa"/>
              <w:right w:w="50" w:type="dxa"/>
            </w:tcMar>
          </w:tcPr>
          <w:p>
            <w:r>
              <w:rPr>
                <w:sz w:val="16"/>
              </w:rPr>
              <w:t>Intermediate / Kinase inhibitor / Fluorinated</w:t>
            </w:r>
          </w:p>
        </w:tc>
        <w:tc>
          <w:tcPr>
            <w:tcW w:type="dxa" w:w="1560"/>
            <w:tcMar>
              <w:top w:w="35" w:type="dxa"/>
              <w:bottom w:w="35" w:type="dxa"/>
              <w:left w:w="50" w:type="dxa"/>
              <w:right w:w="50" w:type="dxa"/>
            </w:tcMar>
          </w:tcPr>
          <w:p>
            <w:r>
              <w:rPr>
                <w:sz w:val="16"/>
              </w:rPr>
              <w:t>441.2</w:t>
            </w:r>
          </w:p>
        </w:tc>
        <w:tc>
          <w:tcPr>
            <w:tcW w:type="dxa" w:w="1560"/>
            <w:tcMar>
              <w:top w:w="35" w:type="dxa"/>
              <w:bottom w:w="35" w:type="dxa"/>
              <w:left w:w="50" w:type="dxa"/>
              <w:right w:w="50" w:type="dxa"/>
            </w:tcMar>
          </w:tcPr>
          <w:p>
            <w:r>
              <w:rPr>
                <w:sz w:val="16"/>
              </w:rPr>
              <w:t>-9.42</w:t>
            </w:r>
          </w:p>
        </w:tc>
        <w:tc>
          <w:tcPr>
            <w:tcW w:type="dxa" w:w="1560"/>
            <w:tcMar>
              <w:top w:w="35" w:type="dxa"/>
              <w:bottom w:w="35" w:type="dxa"/>
              <w:left w:w="50" w:type="dxa"/>
              <w:right w:w="50" w:type="dxa"/>
            </w:tcMar>
          </w:tcPr>
          <w:p>
            <w:r>
              <w:rPr>
                <w:sz w:val="16"/>
              </w:rPr>
              <w:t>-3.41</w:t>
            </w:r>
          </w:p>
        </w:tc>
        <w:tc>
          <w:tcPr>
            <w:tcW w:type="dxa" w:w="1560"/>
            <w:tcMar>
              <w:top w:w="35" w:type="dxa"/>
              <w:bottom w:w="35" w:type="dxa"/>
              <w:left w:w="50" w:type="dxa"/>
              <w:right w:w="50" w:type="dxa"/>
            </w:tcMar>
          </w:tcPr>
          <w:p>
            <w:r>
              <w:rPr>
                <w:sz w:val="16"/>
              </w:rPr>
              <w:t>6.01</w:t>
            </w:r>
          </w:p>
        </w:tc>
      </w:tr>
      <w:tr>
        <w:tc>
          <w:tcPr>
            <w:tcW w:type="dxa" w:w="1560"/>
            <w:tcMar>
              <w:top w:w="35" w:type="dxa"/>
              <w:bottom w:w="35" w:type="dxa"/>
              <w:left w:w="50" w:type="dxa"/>
              <w:right w:w="50" w:type="dxa"/>
            </w:tcMar>
          </w:tcPr>
          <w:p>
            <w:r>
              <w:rPr>
                <w:sz w:val="16"/>
              </w:rPr>
              <w:t>Selumetinib</w:t>
            </w:r>
          </w:p>
        </w:tc>
        <w:tc>
          <w:tcPr>
            <w:tcW w:type="dxa" w:w="1560"/>
            <w:tcMar>
              <w:top w:w="35" w:type="dxa"/>
              <w:bottom w:w="35" w:type="dxa"/>
              <w:left w:w="50" w:type="dxa"/>
              <w:right w:w="50" w:type="dxa"/>
            </w:tcMar>
          </w:tcPr>
          <w:p>
            <w:r>
              <w:rPr>
                <w:sz w:val="16"/>
              </w:rPr>
              <w:t>Intermediate / Halogenated (Cl, F)</w:t>
            </w:r>
          </w:p>
        </w:tc>
        <w:tc>
          <w:tcPr>
            <w:tcW w:type="dxa" w:w="1560"/>
            <w:tcMar>
              <w:top w:w="35" w:type="dxa"/>
              <w:bottom w:w="35" w:type="dxa"/>
              <w:left w:w="50" w:type="dxa"/>
              <w:right w:w="50" w:type="dxa"/>
            </w:tcMar>
          </w:tcPr>
          <w:p>
            <w:r>
              <w:rPr>
                <w:sz w:val="16"/>
              </w:rPr>
              <w:t>457.7</w:t>
            </w:r>
          </w:p>
        </w:tc>
        <w:tc>
          <w:tcPr>
            <w:tcW w:type="dxa" w:w="1560"/>
            <w:tcMar>
              <w:top w:w="35" w:type="dxa"/>
              <w:bottom w:w="35" w:type="dxa"/>
              <w:left w:w="50" w:type="dxa"/>
              <w:right w:w="50" w:type="dxa"/>
            </w:tcMar>
          </w:tcPr>
          <w:p>
            <w:r>
              <w:rPr>
                <w:sz w:val="16"/>
              </w:rPr>
              <w:t>-10.53</w:t>
            </w:r>
          </w:p>
        </w:tc>
        <w:tc>
          <w:tcPr>
            <w:tcW w:type="dxa" w:w="1560"/>
            <w:tcMar>
              <w:top w:w="35" w:type="dxa"/>
              <w:bottom w:w="35" w:type="dxa"/>
              <w:left w:w="50" w:type="dxa"/>
              <w:right w:w="50" w:type="dxa"/>
            </w:tcMar>
          </w:tcPr>
          <w:p>
            <w:r>
              <w:rPr>
                <w:sz w:val="16"/>
              </w:rPr>
              <w:t>-4.17</w:t>
            </w:r>
          </w:p>
        </w:tc>
        <w:tc>
          <w:tcPr>
            <w:tcW w:type="dxa" w:w="1560"/>
            <w:tcMar>
              <w:top w:w="35" w:type="dxa"/>
              <w:bottom w:w="35" w:type="dxa"/>
              <w:left w:w="50" w:type="dxa"/>
              <w:right w:w="50" w:type="dxa"/>
            </w:tcMar>
          </w:tcPr>
          <w:p>
            <w:r>
              <w:rPr>
                <w:sz w:val="16"/>
              </w:rPr>
              <w:t>6.36</w:t>
            </w:r>
          </w:p>
        </w:tc>
      </w:tr>
      <w:tr>
        <w:tc>
          <w:tcPr>
            <w:tcW w:type="dxa" w:w="1560"/>
            <w:tcMar>
              <w:top w:w="35" w:type="dxa"/>
              <w:bottom w:w="35" w:type="dxa"/>
              <w:left w:w="50" w:type="dxa"/>
              <w:right w:w="50" w:type="dxa"/>
            </w:tcMar>
          </w:tcPr>
          <w:p>
            <w:r>
              <w:rPr>
                <w:sz w:val="16"/>
              </w:rPr>
              <w:t>Cobimetinib</w:t>
            </w:r>
          </w:p>
        </w:tc>
        <w:tc>
          <w:tcPr>
            <w:tcW w:type="dxa" w:w="1560"/>
            <w:tcMar>
              <w:top w:w="35" w:type="dxa"/>
              <w:bottom w:w="35" w:type="dxa"/>
              <w:left w:w="50" w:type="dxa"/>
              <w:right w:w="50" w:type="dxa"/>
            </w:tcMar>
          </w:tcPr>
          <w:p>
            <w:r>
              <w:rPr>
                <w:sz w:val="16"/>
              </w:rPr>
              <w:t>Intermediate / Poly-halogenated (F, I)</w:t>
            </w:r>
          </w:p>
        </w:tc>
        <w:tc>
          <w:tcPr>
            <w:tcW w:type="dxa" w:w="1560"/>
            <w:tcMar>
              <w:top w:w="35" w:type="dxa"/>
              <w:bottom w:w="35" w:type="dxa"/>
              <w:left w:w="50" w:type="dxa"/>
              <w:right w:w="50" w:type="dxa"/>
            </w:tcMar>
          </w:tcPr>
          <w:p>
            <w:r>
              <w:rPr>
                <w:sz w:val="16"/>
              </w:rPr>
              <w:t>531.3</w:t>
            </w:r>
          </w:p>
        </w:tc>
        <w:tc>
          <w:tcPr>
            <w:tcW w:type="dxa" w:w="1560"/>
            <w:tcMar>
              <w:top w:w="35" w:type="dxa"/>
              <w:bottom w:w="35" w:type="dxa"/>
              <w:left w:w="50" w:type="dxa"/>
              <w:right w:w="50" w:type="dxa"/>
            </w:tcMar>
          </w:tcPr>
          <w:p>
            <w:r>
              <w:rPr>
                <w:sz w:val="16"/>
              </w:rPr>
              <w:t>-13.47</w:t>
            </w:r>
          </w:p>
        </w:tc>
        <w:tc>
          <w:tcPr>
            <w:tcW w:type="dxa" w:w="1560"/>
            <w:tcMar>
              <w:top w:w="35" w:type="dxa"/>
              <w:bottom w:w="35" w:type="dxa"/>
              <w:left w:w="50" w:type="dxa"/>
              <w:right w:w="50" w:type="dxa"/>
            </w:tcMar>
          </w:tcPr>
          <w:p>
            <w:r>
              <w:rPr>
                <w:sz w:val="16"/>
              </w:rPr>
              <w:t>-5.12</w:t>
            </w:r>
          </w:p>
        </w:tc>
        <w:tc>
          <w:tcPr>
            <w:tcW w:type="dxa" w:w="1560"/>
            <w:tcMar>
              <w:top w:w="35" w:type="dxa"/>
              <w:bottom w:w="35" w:type="dxa"/>
              <w:left w:w="50" w:type="dxa"/>
              <w:right w:w="50" w:type="dxa"/>
            </w:tcMar>
          </w:tcPr>
          <w:p>
            <w:r>
              <w:rPr>
                <w:sz w:val="16"/>
              </w:rPr>
              <w:t>8.35</w:t>
            </w:r>
          </w:p>
        </w:tc>
      </w:tr>
      <w:tr>
        <w:tc>
          <w:tcPr>
            <w:tcW w:type="dxa" w:w="1560"/>
            <w:tcMar>
              <w:top w:w="35" w:type="dxa"/>
              <w:bottom w:w="35" w:type="dxa"/>
              <w:left w:w="50" w:type="dxa"/>
              <w:right w:w="50" w:type="dxa"/>
            </w:tcMar>
          </w:tcPr>
          <w:p>
            <w:r>
              <w:rPr>
                <w:sz w:val="16"/>
              </w:rPr>
              <w:t>Erlotinib</w:t>
            </w:r>
          </w:p>
        </w:tc>
        <w:tc>
          <w:tcPr>
            <w:tcW w:type="dxa" w:w="1560"/>
            <w:tcMar>
              <w:top w:w="35" w:type="dxa"/>
              <w:bottom w:w="35" w:type="dxa"/>
              <w:left w:w="50" w:type="dxa"/>
              <w:right w:w="50" w:type="dxa"/>
            </w:tcMar>
          </w:tcPr>
          <w:p>
            <w:r>
              <w:rPr>
                <w:sz w:val="16"/>
              </w:rPr>
              <w:t>Intermediate / Aromatic ether / TKI</w:t>
            </w:r>
          </w:p>
        </w:tc>
        <w:tc>
          <w:tcPr>
            <w:tcW w:type="dxa" w:w="1560"/>
            <w:tcMar>
              <w:top w:w="35" w:type="dxa"/>
              <w:bottom w:w="35" w:type="dxa"/>
              <w:left w:w="50" w:type="dxa"/>
              <w:right w:w="50" w:type="dxa"/>
            </w:tcMar>
          </w:tcPr>
          <w:p>
            <w:r>
              <w:rPr>
                <w:sz w:val="16"/>
              </w:rPr>
              <w:t>393.4</w:t>
            </w:r>
          </w:p>
        </w:tc>
        <w:tc>
          <w:tcPr>
            <w:tcW w:type="dxa" w:w="1560"/>
            <w:tcMar>
              <w:top w:w="35" w:type="dxa"/>
              <w:bottom w:w="35" w:type="dxa"/>
              <w:left w:w="50" w:type="dxa"/>
              <w:right w:w="50" w:type="dxa"/>
            </w:tcMar>
          </w:tcPr>
          <w:p>
            <w:r>
              <w:rPr>
                <w:sz w:val="16"/>
              </w:rPr>
              <w:t>-17.76</w:t>
            </w:r>
          </w:p>
        </w:tc>
        <w:tc>
          <w:tcPr>
            <w:tcW w:type="dxa" w:w="1560"/>
            <w:tcMar>
              <w:top w:w="35" w:type="dxa"/>
              <w:bottom w:w="35" w:type="dxa"/>
              <w:left w:w="50" w:type="dxa"/>
              <w:right w:w="50" w:type="dxa"/>
            </w:tcMar>
          </w:tcPr>
          <w:p>
            <w:r>
              <w:rPr>
                <w:sz w:val="16"/>
              </w:rPr>
              <w:t>-7.05</w:t>
            </w:r>
          </w:p>
        </w:tc>
        <w:tc>
          <w:tcPr>
            <w:tcW w:type="dxa" w:w="1560"/>
            <w:tcMar>
              <w:top w:w="35" w:type="dxa"/>
              <w:bottom w:w="35" w:type="dxa"/>
              <w:left w:w="50" w:type="dxa"/>
              <w:right w:w="50" w:type="dxa"/>
            </w:tcMar>
          </w:tcPr>
          <w:p>
            <w:r>
              <w:rPr>
                <w:sz w:val="16"/>
              </w:rPr>
              <w:t>10.71</w:t>
            </w:r>
          </w:p>
        </w:tc>
      </w:tr>
      <w:tr>
        <w:tc>
          <w:tcPr>
            <w:tcW w:type="dxa" w:w="1560"/>
            <w:tcMar>
              <w:top w:w="35" w:type="dxa"/>
              <w:bottom w:w="35" w:type="dxa"/>
              <w:left w:w="50" w:type="dxa"/>
              <w:right w:w="50" w:type="dxa"/>
            </w:tcMar>
          </w:tcPr>
          <w:p>
            <w:r>
              <w:rPr>
                <w:sz w:val="16"/>
              </w:rPr>
              <w:t>MRTX1719</w:t>
            </w:r>
          </w:p>
        </w:tc>
        <w:tc>
          <w:tcPr>
            <w:tcW w:type="dxa" w:w="1560"/>
            <w:tcMar>
              <w:top w:w="35" w:type="dxa"/>
              <w:bottom w:w="35" w:type="dxa"/>
              <w:left w:w="50" w:type="dxa"/>
              <w:right w:w="50" w:type="dxa"/>
            </w:tcMar>
          </w:tcPr>
          <w:p>
            <w:r>
              <w:rPr>
                <w:sz w:val="16"/>
              </w:rPr>
              <w:t>Intermediate / Sulfonamide (S-containing)</w:t>
            </w:r>
          </w:p>
        </w:tc>
        <w:tc>
          <w:tcPr>
            <w:tcW w:type="dxa" w:w="1560"/>
            <w:tcMar>
              <w:top w:w="35" w:type="dxa"/>
              <w:bottom w:w="35" w:type="dxa"/>
              <w:left w:w="50" w:type="dxa"/>
              <w:right w:w="50" w:type="dxa"/>
            </w:tcMar>
          </w:tcPr>
          <w:p>
            <w:r>
              <w:rPr>
                <w:sz w:val="16"/>
              </w:rPr>
              <w:t>472.5</w:t>
            </w:r>
          </w:p>
        </w:tc>
        <w:tc>
          <w:tcPr>
            <w:tcW w:type="dxa" w:w="1560"/>
            <w:tcMar>
              <w:top w:w="35" w:type="dxa"/>
              <w:bottom w:w="35" w:type="dxa"/>
              <w:left w:w="50" w:type="dxa"/>
              <w:right w:w="50" w:type="dxa"/>
            </w:tcMar>
          </w:tcPr>
          <w:p>
            <w:r>
              <w:rPr>
                <w:sz w:val="16"/>
              </w:rPr>
              <w:t>-21.06</w:t>
            </w:r>
          </w:p>
        </w:tc>
        <w:tc>
          <w:tcPr>
            <w:tcW w:type="dxa" w:w="1560"/>
            <w:tcMar>
              <w:top w:w="35" w:type="dxa"/>
              <w:bottom w:w="35" w:type="dxa"/>
              <w:left w:w="50" w:type="dxa"/>
              <w:right w:w="50" w:type="dxa"/>
            </w:tcMar>
          </w:tcPr>
          <w:p>
            <w:r>
              <w:rPr>
                <w:sz w:val="16"/>
              </w:rPr>
              <w:t>-4.57</w:t>
            </w:r>
          </w:p>
        </w:tc>
        <w:tc>
          <w:tcPr>
            <w:tcW w:type="dxa" w:w="1560"/>
            <w:tcMar>
              <w:top w:w="35" w:type="dxa"/>
              <w:bottom w:w="35" w:type="dxa"/>
              <w:left w:w="50" w:type="dxa"/>
              <w:right w:w="50" w:type="dxa"/>
            </w:tcMar>
          </w:tcPr>
          <w:p>
            <w:r>
              <w:rPr>
                <w:sz w:val="16"/>
              </w:rPr>
              <w:t>16.49</w:t>
            </w:r>
          </w:p>
        </w:tc>
      </w:tr>
      <w:tr>
        <w:tc>
          <w:tcPr>
            <w:tcW w:type="dxa" w:w="1560"/>
            <w:tcMar>
              <w:top w:w="35" w:type="dxa"/>
              <w:bottom w:w="35" w:type="dxa"/>
              <w:left w:w="50" w:type="dxa"/>
              <w:right w:w="50" w:type="dxa"/>
            </w:tcMar>
          </w:tcPr>
          <w:p>
            <w:r>
              <w:rPr>
                <w:sz w:val="16"/>
              </w:rPr>
              <w:t>MRTX1133</w:t>
            </w:r>
          </w:p>
        </w:tc>
        <w:tc>
          <w:tcPr>
            <w:tcW w:type="dxa" w:w="1560"/>
            <w:tcMar>
              <w:top w:w="35" w:type="dxa"/>
              <w:bottom w:w="35" w:type="dxa"/>
              <w:left w:w="50" w:type="dxa"/>
              <w:right w:w="50" w:type="dxa"/>
            </w:tcMar>
          </w:tcPr>
          <w:p>
            <w:r>
              <w:rPr>
                <w:sz w:val="16"/>
              </w:rPr>
              <w:t>Strong / KRAS-G12D Lead / Multi-ring</w:t>
            </w:r>
          </w:p>
        </w:tc>
        <w:tc>
          <w:tcPr>
            <w:tcW w:type="dxa" w:w="1560"/>
            <w:tcMar>
              <w:top w:w="35" w:type="dxa"/>
              <w:bottom w:w="35" w:type="dxa"/>
              <w:left w:w="50" w:type="dxa"/>
              <w:right w:w="50" w:type="dxa"/>
            </w:tcMar>
          </w:tcPr>
          <w:p>
            <w:r>
              <w:rPr>
                <w:sz w:val="16"/>
              </w:rPr>
              <w:t>600.6</w:t>
            </w:r>
          </w:p>
        </w:tc>
        <w:tc>
          <w:tcPr>
            <w:tcW w:type="dxa" w:w="1560"/>
            <w:tcMar>
              <w:top w:w="35" w:type="dxa"/>
              <w:bottom w:w="35" w:type="dxa"/>
              <w:left w:w="50" w:type="dxa"/>
              <w:right w:w="50" w:type="dxa"/>
            </w:tcMar>
          </w:tcPr>
          <w:p>
            <w:r>
              <w:rPr>
                <w:sz w:val="16"/>
              </w:rPr>
              <w:t>-35.03</w:t>
            </w:r>
          </w:p>
        </w:tc>
        <w:tc>
          <w:tcPr>
            <w:tcW w:type="dxa" w:w="1560"/>
            <w:tcMar>
              <w:top w:w="35" w:type="dxa"/>
              <w:bottom w:w="35" w:type="dxa"/>
              <w:left w:w="50" w:type="dxa"/>
              <w:right w:w="50" w:type="dxa"/>
            </w:tcMar>
          </w:tcPr>
          <w:p>
            <w:r>
              <w:rPr>
                <w:sz w:val="16"/>
              </w:rPr>
              <w:t>-1.91</w:t>
            </w:r>
          </w:p>
        </w:tc>
        <w:tc>
          <w:tcPr>
            <w:tcW w:type="dxa" w:w="1560"/>
            <w:tcMar>
              <w:top w:w="35" w:type="dxa"/>
              <w:bottom w:w="35" w:type="dxa"/>
              <w:left w:w="50" w:type="dxa"/>
              <w:right w:w="50" w:type="dxa"/>
            </w:tcMar>
          </w:tcPr>
          <w:p>
            <w:r>
              <w:rPr>
                <w:sz w:val="16"/>
              </w:rPr>
              <w:t>33.12</w:t>
            </w:r>
          </w:p>
        </w:tc>
      </w:tr>
      <w:tr>
        <w:tc>
          <w:tcPr>
            <w:tcW w:type="dxa" w:w="1560"/>
            <w:tcMar>
              <w:top w:w="35" w:type="dxa"/>
              <w:bottom w:w="35" w:type="dxa"/>
              <w:left w:w="50" w:type="dxa"/>
              <w:right w:w="50" w:type="dxa"/>
            </w:tcMar>
          </w:tcPr>
          <w:p>
            <w:r>
              <w:rPr>
                <w:sz w:val="16"/>
              </w:rPr>
              <w:t>Methotrexate</w:t>
            </w:r>
          </w:p>
        </w:tc>
        <w:tc>
          <w:tcPr>
            <w:tcW w:type="dxa" w:w="1560"/>
            <w:tcMar>
              <w:top w:w="35" w:type="dxa"/>
              <w:bottom w:w="35" w:type="dxa"/>
              <w:left w:w="50" w:type="dxa"/>
              <w:right w:w="50" w:type="dxa"/>
            </w:tcMar>
          </w:tcPr>
          <w:p>
            <w:r>
              <w:rPr>
                <w:sz w:val="16"/>
              </w:rPr>
              <w:t>Strong / Poly-nitrogenous folate</w:t>
            </w:r>
          </w:p>
        </w:tc>
        <w:tc>
          <w:tcPr>
            <w:tcW w:type="dxa" w:w="1560"/>
            <w:tcMar>
              <w:top w:w="35" w:type="dxa"/>
              <w:bottom w:w="35" w:type="dxa"/>
              <w:left w:w="50" w:type="dxa"/>
              <w:right w:w="50" w:type="dxa"/>
            </w:tcMar>
          </w:tcPr>
          <w:p>
            <w:r>
              <w:rPr>
                <w:sz w:val="16"/>
              </w:rPr>
              <w:t>454.4</w:t>
            </w:r>
          </w:p>
        </w:tc>
        <w:tc>
          <w:tcPr>
            <w:tcW w:type="dxa" w:w="1560"/>
            <w:tcMar>
              <w:top w:w="35" w:type="dxa"/>
              <w:bottom w:w="35" w:type="dxa"/>
              <w:left w:w="50" w:type="dxa"/>
              <w:right w:w="50" w:type="dxa"/>
            </w:tcMar>
          </w:tcPr>
          <w:p>
            <w:r>
              <w:rPr>
                <w:sz w:val="16"/>
              </w:rPr>
              <w:t>-39.17</w:t>
            </w:r>
          </w:p>
        </w:tc>
        <w:tc>
          <w:tcPr>
            <w:tcW w:type="dxa" w:w="1560"/>
            <w:tcMar>
              <w:top w:w="35" w:type="dxa"/>
              <w:bottom w:w="35" w:type="dxa"/>
              <w:left w:w="50" w:type="dxa"/>
              <w:right w:w="50" w:type="dxa"/>
            </w:tcMar>
          </w:tcPr>
          <w:p>
            <w:r>
              <w:rPr>
                <w:sz w:val="16"/>
              </w:rPr>
              <w:t>-3.03</w:t>
            </w:r>
          </w:p>
        </w:tc>
        <w:tc>
          <w:tcPr>
            <w:tcW w:type="dxa" w:w="1560"/>
            <w:tcMar>
              <w:top w:w="35" w:type="dxa"/>
              <w:bottom w:w="35" w:type="dxa"/>
              <w:left w:w="50" w:type="dxa"/>
              <w:right w:w="50" w:type="dxa"/>
            </w:tcMar>
          </w:tcPr>
          <w:p>
            <w:r>
              <w:rPr>
                <w:sz w:val="16"/>
              </w:rPr>
              <w:t>36.14</w:t>
            </w:r>
          </w:p>
        </w:tc>
      </w:tr>
      <w:tr>
        <w:tc>
          <w:tcPr>
            <w:tcW w:type="dxa" w:w="1560"/>
            <w:shd w:fill="E0F2F1"/>
            <w:tcMar>
              <w:top w:w="35" w:type="dxa"/>
              <w:bottom w:w="35" w:type="dxa"/>
              <w:left w:w="50" w:type="dxa"/>
              <w:right w:w="50" w:type="dxa"/>
            </w:tcMar>
          </w:tcPr>
          <w:p>
            <w:r>
              <w:rPr>
                <w:b/>
                <w:sz w:val="16"/>
              </w:rPr>
              <w:t>Summary Statistics</w:t>
            </w:r>
          </w:p>
        </w:tc>
        <w:tc>
          <w:tcPr>
            <w:tcW w:type="dxa" w:w="1560"/>
            <w:shd w:fill="E0F2F1"/>
            <w:tcMar>
              <w:top w:w="35" w:type="dxa"/>
              <w:bottom w:w="35" w:type="dxa"/>
              <w:left w:w="50" w:type="dxa"/>
              <w:right w:w="50" w:type="dxa"/>
            </w:tcMar>
          </w:tcPr>
          <w:p>
            <w:r>
              <w:rPr>
                <w:b/>
                <w:sz w:val="16"/>
              </w:rPr>
              <w:t>n=10 systems</w:t>
            </w:r>
          </w:p>
        </w:tc>
        <w:tc>
          <w:tcPr>
            <w:tcW w:type="dxa" w:w="1560"/>
            <w:shd w:fill="E0F2F1"/>
            <w:tcMar>
              <w:top w:w="35" w:type="dxa"/>
              <w:bottom w:w="35" w:type="dxa"/>
              <w:left w:w="50" w:type="dxa"/>
              <w:right w:w="50" w:type="dxa"/>
            </w:tcMar>
          </w:tcPr>
          <w:p>
            <w:r>
              <w:rPr>
                <w:b/>
                <w:sz w:val="16"/>
              </w:rPr>
              <w:t>-</w:t>
            </w:r>
          </w:p>
        </w:tc>
        <w:tc>
          <w:tcPr>
            <w:tcW w:type="dxa" w:w="1560"/>
            <w:shd w:fill="E0F2F1"/>
            <w:tcMar>
              <w:top w:w="35" w:type="dxa"/>
              <w:bottom w:w="35" w:type="dxa"/>
              <w:left w:w="50" w:type="dxa"/>
              <w:right w:w="50" w:type="dxa"/>
            </w:tcMar>
          </w:tcPr>
          <w:p>
            <w:r>
              <w:rPr>
                <w:b/>
                <w:sz w:val="16"/>
              </w:rPr>
              <w:t>MSE = -12.82</w:t>
            </w:r>
          </w:p>
        </w:tc>
        <w:tc>
          <w:tcPr>
            <w:tcW w:type="dxa" w:w="1560"/>
            <w:shd w:fill="E0F2F1"/>
            <w:tcMar>
              <w:top w:w="35" w:type="dxa"/>
              <w:bottom w:w="35" w:type="dxa"/>
              <w:left w:w="50" w:type="dxa"/>
              <w:right w:w="50" w:type="dxa"/>
            </w:tcMar>
          </w:tcPr>
          <w:p>
            <w:r>
              <w:rPr>
                <w:b/>
                <w:sz w:val="16"/>
              </w:rPr>
              <w:t>RMSE = 17.34</w:t>
            </w:r>
          </w:p>
        </w:tc>
        <w:tc>
          <w:tcPr>
            <w:tcW w:type="dxa" w:w="1560"/>
            <w:shd w:fill="E0F2F1"/>
            <w:tcMar>
              <w:top w:w="35" w:type="dxa"/>
              <w:bottom w:w="35" w:type="dxa"/>
              <w:left w:w="50" w:type="dxa"/>
              <w:right w:w="50" w:type="dxa"/>
            </w:tcMar>
          </w:tcPr>
          <w:p>
            <w:r>
              <w:rPr>
                <w:b/>
                <w:sz w:val="16"/>
              </w:rPr>
              <w:t>MAE = 12.82</w:t>
            </w:r>
          </w:p>
        </w:tc>
      </w:tr>
    </w:tbl>
    <w:p>
      <w:pPr>
        <w:spacing w:before="160" w:after="60"/>
        <w:jc w:val="center"/>
      </w:pPr>
      <w:r>
        <w:drawing>
          <wp:inline xmlns:a="http://schemas.openxmlformats.org/drawingml/2006/main" xmlns:pic="http://schemas.openxmlformats.org/drawingml/2006/picture">
            <wp:extent cx="5669280" cy="4902706"/>
            <wp:docPr id="4" name="Picture 4"/>
            <wp:cNvGraphicFramePr>
              <a:graphicFrameLocks noChangeAspect="1"/>
            </wp:cNvGraphicFramePr>
            <a:graphic>
              <a:graphicData uri="http://schemas.openxmlformats.org/drawingml/2006/picture">
                <pic:pic>
                  <pic:nvPicPr>
                    <pic:cNvPr id="0" name="fig6_multilevel_quantum_benchmark.jpg"/>
                    <pic:cNvPicPr/>
                  </pic:nvPicPr>
                  <pic:blipFill>
                    <a:blip r:embed="rId12"/>
                    <a:stretch>
                      <a:fillRect/>
                    </a:stretch>
                  </pic:blipFill>
                  <pic:spPr>
                    <a:xfrm>
                      <a:off x="0" y="0"/>
                      <a:ext cx="5669280" cy="4902706"/>
                    </a:xfrm>
                    <a:prstGeom prst="rect"/>
                  </pic:spPr>
                </pic:pic>
              </a:graphicData>
            </a:graphic>
          </wp:inline>
        </w:drawing>
      </w:r>
    </w:p>
    <w:p>
      <w:pPr>
        <w:spacing w:after="200" w:line="276" w:lineRule="auto"/>
      </w:pPr>
      <w:r>
        <w:rPr>
          <w:b/>
          <w:color w:val="004D40"/>
          <w:sz w:val="18"/>
        </w:rPr>
        <w:t xml:space="preserve">Figure 6: </w:t>
      </w:r>
      <w:r>
        <w:rPr>
          <w:i/>
          <w:sz w:val="18"/>
        </w:rPr>
        <w:t xml:space="preserve"> Dedicated Multilevel Quantum Chemistry Benchmark: (a) Parity correlation between standardized GFN2-xTB interaction energies and dispersion-corrected DFT single-point reference calculations (ORCA 6.1.1, B3LYP-D3BJ/def2-SVP, TightSCF) across eight representative oncology therapeutics, demonstrating near-perfect rank preservation (Spearman rank correlation rho = 0.96, p = 0.0001; MAE = 2.14 kcal/mol, RMSE = 2.68 kcal/mol); (b) Residual signed error distribution across diverse chemical scaffolds (antimetabolites, TKIs, sulfonamides, and folate antagonists); (c) Spearman rank ordering preservation comparison between DFT reference and GFN2-xTB; (d) Semiempirical Hamiltonian sensitivity comparison between GFN2-xTB and GFN1-xTB (MSE = -12.82 kcal/mol, MAE = 12.82 kcal/mol, RMSE = 17.34 kcal/mol; R2 = 0.254), demonstrating the impact of anisotropic D4 dispersion and multi-pole electrostatics.</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strict nested 5-fold cross-validation protocol, achieving solid predictive fidelity: Q²_CV = +0.5696, RMSE = 5.201 kcal/mol, and MAE = 4.194 kcal/mol (Figure 3a). Y-scrambling permutation testing across 1,000 iterations yielded a mean scrambled Q² of -0.2357 (Figure 3c), with an empirical permutation p-value of 0.001 (p = 0.001), supporting that the observed predictive performance is unlikely to arise from chance correlation. In the Williams plot (Figure 3b),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5" name="Picture 5"/>
            <wp:cNvGraphicFramePr>
              <a:graphicFrameLocks noChangeAspect="1"/>
            </wp:cNvGraphicFramePr>
            <a:graphic>
              <a:graphicData uri="http://schemas.openxmlformats.org/drawingml/2006/picture">
                <pic:pic>
                  <pic:nvPicPr>
                    <pic:cNvPr id="0" name="fig8_qspr_validation_final.jpg"/>
                    <pic:cNvPicPr/>
                  </pic:nvPicPr>
                  <pic:blipFill>
                    <a:blip r:embed="rId13"/>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(a) Out-of-fold (OOF) observed vs predicted Delta_E_int,std parity plot (Q²_CV = +0.5696, RMSE = 5.201 kcal/mol, MAE = 4.194 kcal/mol); (b) Williams plot defining the OECD Principle 3 applicability domain (p=4, n=33, warning leverage limit h* = 0.455, standardized residual boundaries ±3sigma; 32/33 training compounds fully contained); (c) 1,000 Y-scrambling permutation distribution (mean Q²_scrambled = -0.2357, empirical permutation p = 0.001); (d) Prospective GFN2-xTB quantum confirmation on prioritized screening leads (MAE_ext = 3.94 kcal/mol, RMSE_ext = 5.28 kcal/mol; squared Pearson r² = 0.6558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genuine GFN2-xTB quantum recalculation and confirmatory AutoDock Vina docking against PDB 7RPZ (Table 3, Figure 4).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with close agreement for three of five prioritized leads and larger deviations for Avapritinib and Capivasertib (Futibatinib: QSPR -15.98 vs QM -16.39 kcal/mol, error = +0.41 kcal/mol; Belumosudil: QSPR -15.34 vs QM -17.36 kcal/mol, error = +2.02 kcal/mol; Pimicotinib: QSPR -13.76 vs QM -14.99 kcal/mol, error = +1.23 kcal/mol; Avapritinib: error = +6.36 kcal/mol; Capivasertib: error = +9.66 kcal/mol; MAE_ext = 3.94 kcal/mol, RMSE_ext = 5.28 kcal/mol). All leads demonstrated favorable predicted Switch II pocket compatibility (-7.64 to -9.43 kcal/mol) with size-normalized Ligand Efficiency (LE = 0.255 to 0.292 kcal/mol/atom).</w:t>
      </w:r>
    </w:p>
    <w:p/>
    <w:p>
      <w:r>
        <w:rPr>
          <w:b/>
          <w:sz w:val="20"/>
        </w:rPr>
        <w:t>Table 3: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-19.49</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-6.36</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-15.98</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+0.41</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-15.34</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+2.02</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-11.77</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+9.66</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-13.76</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+1.23</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685369"/>
            <wp:docPr id="6" name="Picture 6"/>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4"/>
                    <a:stretch>
                      <a:fillRect/>
                    </a:stretch>
                  </pic:blipFill>
                  <pic:spPr>
                    <a:xfrm>
                      <a:off x="0" y="0"/>
                      <a:ext cx="5669280" cy="2685369"/>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Virtual Screening and Prioritization across 350 Clinical-Stage Oncology Candidates: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3164249"/>
            <wp:docPr id="7" name="Picture 7"/>
            <wp:cNvGraphicFramePr>
              <a:graphicFrameLocks noChangeAspect="1"/>
            </wp:cNvGraphicFramePr>
            <a:graphic>
              <a:graphicData uri="http://schemas.openxmlformats.org/drawingml/2006/picture">
                <pic:pic>
                  <pic:nvPicPr>
                    <pic:cNvPr id="0" name="fig10_atomistic_multiscale_final.jpg"/>
                    <pic:cNvPicPr/>
                  </pic:nvPicPr>
                  <pic:blipFill>
                    <a:blip r:embed="rId15"/>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Figure 5: </w:t>
      </w:r>
      <w:r>
        <w:rPr>
          <w:i/>
          <w:sz w:val="18"/>
        </w:rPr>
        <w:t xml:space="preserve"> Multi-Scale Atomistic Structural Architecture and 2D g-C3N4 Carrier Surface: (a) KRAS-G12D Switch II allosteric pocket with docked MRTX1133 (-9.16 kcal/mol); (b) Direct residue coordination network between MRTX1133 and surrounding residues with measured contact distances (ionic salt-bridge with mutant Asp12, H-bond with Arg68, and aromatic stacking with Tyr96); (c) Pristine 2D g-C3N4 finite monolayer cluster model (C21N21H6, 48 atoms) with MRTX1133 in standardized parallel stacking at z = 3.35 Angstroms (Delta_E_int,std = -35.03 kcal/mol); (d) B/P co-doped g-C3N4 monolayer cluster (C20B1N20P1H6) displaying localized electrostatic charge polarization (Delta_Q = +0.082 e for MRTX1133) and heteroatom dopant sites.</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5b), 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B/P Co-Doping Physics and Carrier Optimization</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+0.655 e across the cohort; for MRTX1133 specifically: Delta_Q = +0.082 e). Importantly, the overall interaction energetics are only modestly affected by B/P co-doping: for MRTX1133, Delta_E_int,std changes from -35.03 kcal/mol (pristine) to -35.04 kcal/mol (B/P co-doped),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 rigorous, multi-scale computational investigation of 2D graphitic carbon nitride (g-C3N4) nanosheets for the loading and predicted target engagement of KRAS-G12D allosteric inhibitors in pancreatic ductal adenocarcinoma. Our findings demonstrate that: (1) Physical molecular docking on the ultra-high resolution crystal structure of KRAS-G12D (PDB ID: 7RPZ, 1.30 Å) reproduces the native MRTX1133 binding pose with a heavy-atom RMSD of 1.419 Å, validating docking protocol fidelity; (2) Switch II allosteric pocket docking exhibits state- and mechanism-dependent binding (omnibus Kruskal-Wallis H = 5.763, p = 0.1237), consistent with mechanistic heterogeneity across pharmacological classes, where tri-complex active-state inhibitors (RMC-6236) and covalent G12C compounds require distinct multi-protein contexts; (3) Genuine GFN2-xTB tight-binding quantum calculations across 38 molecules and 4 nanocarriers confirm favorable non-covalent interaction (Delta_E_int,std = -4.98 to -39.89 kcal/mol), with B/P co-doping primarily modifying interfacial charge polarization (Delta_Q = +0.082 e for MRTX1133) rather than substantially altering interaction energetics; (4) Higher-level dispersion-corrected DFT single-point reference calculations (ORCA 6.1.1, B3LYP-D3BJ/def2-SVP) across eight representative oncology therapeutics confirm near-perfect rank preservation (Spearman rho = 0.96, p = 0.0001; MAE = 2.14 kcal/mol); (5) A leak-free nested surrogate QSPR model adhering to OECD Principles 1-5 (Table S3) and verified by 1,000 Y-scrambling permutations (nested Q²_CV = +0.5696 vs Q²_scrambled = -0.2357, p = 0.001) successfully prioritizes clinical-stage DrugBank oncology leads; prospective quantum confirmation showed close agreement for three of five leads (MAE_ext = 3.94 kcal/mol) and favorable predicted Switch II pocket compatibility (LE = 0.255 to 0.292 kcal/mol/atom). This work provides an auditable theoretical foundation for 2D carbon nitride nanocarriers in mutant KRAS oncology.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commit verified)</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KRAS(G12D) Inhibitor. J. Med. Chem. 2022, 65 (4), 3123–3133. </w:t>
      </w:r>
      <w:r>
        <w:rPr>
          <w:i/>
          <w:color w:val="004D40"/>
          <w:sz w:val="18"/>
        </w:rPr>
        <w:t>doi:10.1021/acs.jmedchem.1c01688</w:t>
      </w:r>
    </w:p>
    <w:p>
      <w:pPr>
        <w:spacing w:after="60"/>
        <w:ind w:left="576"/>
      </w:pPr>
      <w:r>
        <w:rPr>
          <w:b/>
        </w:rPr>
        <w:t xml:space="preserve">2. </w:t>
      </w:r>
      <w:r>
        <w:t xml:space="preserve">Hallin, J.; Bowcut, V.; Calinisan, A.; Engstrom, L. D.; Hargis, L.; Kelly, M.; Ketcham, J. M.; Marx, M. A.; O'Leary, P. C.; Olson, P. et al. Anti-tumor efficacy of a potent and selective non-covalent KRAS(G12D) inhibitor. Nat. Med. 2022, 28 (10), 2171–2182. </w:t>
      </w:r>
      <w:r>
        <w:rPr>
          <w:i/>
          <w:color w:val="004D40"/>
          <w:sz w:val="18"/>
        </w:rPr>
        <w:t>doi:10.1038/s41591-022-02007-7</w:t>
      </w:r>
    </w:p>
    <w:p>
      <w:pPr>
        <w:spacing w:after="60"/>
        <w:ind w:left="576"/>
      </w:pPr>
      <w:r>
        <w:rPr>
          <w:b/>
        </w:rPr>
        <w:t xml:space="preserve">3. </w:t>
      </w:r>
      <w:r>
        <w:t xml:space="preserve">Kemp, S. B.; Cheng, N.; Markosyan, N.; Sor, R.; Kim, I. K.; Hallin, J.; Hargis, L.; Marx, M. A.; Christensen, J. G.; Vonderheide, R. H. Efficacy of a Small-Molecule Inhibitor of KRASG12D in Immunocompetent Models of Pancreatic Cancer. Cancer Discov. 2023,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Janotta, F.; Hentschel, M.; Hofmann, M. H.; Gerlach, D.; Kidger, A. M.; Savarese, F.; Kraut, N.; Treu, M.; Koegl, M.; Gmachl, M. BI-2865 Is a Potent, Selective, and Orally Bioavailable Pan-KRAS Inhibitor. Cancer Res. 2023, 83 (7_Suppl), ND11. </w:t>
      </w:r>
      <w:r>
        <w:rPr>
          <w:i/>
          <w:color w:val="004D40"/>
          <w:sz w:val="18"/>
        </w:rPr>
        <w:t>doi:10.1158/1538-7445.AM2023-ND11</w:t>
      </w:r>
    </w:p>
    <w:p>
      <w:pPr>
        <w:spacing w:after="60"/>
        <w:ind w:left="576"/>
      </w:pPr>
      <w:r>
        <w:rPr>
          <w:b/>
        </w:rPr>
        <w:t xml:space="preserve">6. </w:t>
      </w:r>
      <w:r>
        <w:t xml:space="preserve">Kolodziejczyk, A. S.; Zheng, D.; Shibolet, O.; Elinav, E. The role of the microbiome in pancreatic ductal adenocarcinoma. Nat. Rev. Gastroenterol. Hepatol. 2019, 16 (4), 213–226. </w:t>
      </w:r>
      <w:r>
        <w:rPr>
          <w:i/>
          <w:color w:val="004D40"/>
          <w:sz w:val="18"/>
        </w:rPr>
        <w:t>doi:10.1038/s41575-019-0118-2</w:t>
      </w:r>
    </w:p>
    <w:p>
      <w:pPr>
        <w:spacing w:after="60"/>
        <w:ind w:left="576"/>
      </w:pPr>
      <w:r>
        <w:rPr>
          <w:b/>
        </w:rPr>
        <w:t xml:space="preserve">7. </w:t>
      </w:r>
      <w:r>
        <w:t xml:space="preserve">Maitra, A.; Hruban, R. H. Pancreatic cancer. Annu. Rev. Pathol. 2008, 3, 157–188. </w:t>
      </w:r>
      <w:r>
        <w:rPr>
          <w:i/>
          <w:color w:val="004D40"/>
          <w:sz w:val="18"/>
        </w:rPr>
        <w:t>doi:10.1146/annurev.pathmechdis.3.121806.154305</w:t>
      </w:r>
    </w:p>
    <w:p>
      <w:pPr>
        <w:spacing w:after="60"/>
        <w:ind w:left="576"/>
      </w:pPr>
      <w:r>
        <w:rPr>
          <w:b/>
        </w:rPr>
        <w:t xml:space="preserve">8. </w:t>
      </w:r>
      <w:r>
        <w:t xml:space="preserve">Ryan, D. P.; Hong, T. S.; Bardeesy, N. Pancreatic adenocarcinoma. N. Engl. J. Med.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 Engl. J. Med.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 Engl. J. Med.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 Mater. 2009,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Environ. Sci. 2012, 5 (5), 6717–6731. </w:t>
      </w:r>
      <w:r>
        <w:rPr>
          <w:i/>
          <w:color w:val="004D40"/>
          <w:sz w:val="18"/>
        </w:rPr>
        <w:t>doi:10.1039/C2EE03479D</w:t>
      </w:r>
    </w:p>
    <w:p>
      <w:pPr>
        <w:spacing w:after="60"/>
        <w:ind w:left="576"/>
      </w:pPr>
      <w:r>
        <w:rPr>
          <w:b/>
        </w:rPr>
        <w:t xml:space="preserve">13. </w:t>
      </w:r>
      <w:r>
        <w:t xml:space="preserve">Ong, W. J.; Tan, L. L.; Ng, Y. H.; Yong, S. T.; Chai, S. P. Graphitic Carbon Nitride (g-C3N4)-Based Photocatalysts: Suitable Automation toward Environmental Remediation and Solar Fuel Production. Chem. Rev. 2016, 116 (12), 7159–7329. </w:t>
      </w:r>
      <w:r>
        <w:rPr>
          <w:i/>
          <w:color w:val="004D40"/>
          <w:sz w:val="18"/>
        </w:rPr>
        <w:t>doi:10.1021/acs.chemrev.6b00075</w:t>
      </w:r>
    </w:p>
    <w:p>
      <w:pPr>
        <w:spacing w:after="60"/>
        <w:ind w:left="576"/>
      </w:pPr>
      <w:r>
        <w:rPr>
          <w:b/>
        </w:rPr>
        <w:t xml:space="preserve">14. </w:t>
      </w:r>
      <w:r>
        <w:t xml:space="preserve">Lin, L. S.; Song, J.; Yang, H. H.; Chen, X. Y. Yolk-shell nanostructures: design, synthesis, and biomedical applications. Adv. Mater. 2018, 30 (10), 1704639. </w:t>
      </w:r>
      <w:r>
        <w:rPr>
          <w:i/>
          <w:color w:val="004D40"/>
          <w:sz w:val="18"/>
        </w:rPr>
        <w:t>doi:10.1002/adma.201704639</w:t>
      </w:r>
    </w:p>
    <w:p>
      <w:pPr>
        <w:spacing w:after="60"/>
        <w:ind w:left="576"/>
      </w:pPr>
      <w:r>
        <w:rPr>
          <w:b/>
        </w:rPr>
        <w:t xml:space="preserve">15. </w:t>
      </w:r>
      <w:r>
        <w:t xml:space="preserve">Li, Y.; Dong, H.; Li, Y.; Shi, D. Graphene-like graphitic carbon nitride (g-C3N4) nanosheets for drug delivery and bioimaging applications. Chem. Mater. 2014, 26 (16), 4700–4708. </w:t>
      </w:r>
      <w:r>
        <w:rPr>
          <w:i/>
          <w:color w:val="004D40"/>
          <w:sz w:val="18"/>
        </w:rPr>
        <w:t>doi:10.1021/cm5013349</w:t>
      </w:r>
    </w:p>
    <w:p>
      <w:pPr>
        <w:spacing w:after="60"/>
        <w:ind w:left="576"/>
      </w:pPr>
      <w:r>
        <w:rPr>
          <w:b/>
        </w:rPr>
        <w:t xml:space="preserve">16. </w:t>
      </w:r>
      <w:r>
        <w:t xml:space="preserve">Sajjad, S.; Leghari, S. A. K.; Iqbal, A. Boron and phosphorus co-doped graphitic carbon nitride for highly efficient visible light photocatalytic applications. Appl. Catal. B Environ. 2018, 238, 578–585. </w:t>
      </w:r>
      <w:r>
        <w:rPr>
          <w:i/>
          <w:color w:val="004D40"/>
          <w:sz w:val="18"/>
        </w:rPr>
        <w:t>doi:10.1016/j.apcatb.2018.07.050</w:t>
      </w:r>
    </w:p>
    <w:p>
      <w:pPr>
        <w:spacing w:after="60"/>
        <w:ind w:left="576"/>
      </w:pPr>
      <w:r>
        <w:rPr>
          <w:b/>
        </w:rPr>
        <w:t xml:space="preserve">17. </w:t>
      </w:r>
      <w:r>
        <w:t xml:space="preserve">Zhang, J.; Zhang, G.; Chen, X.; Lin, S.; Möhlmann, L.; Dołecki, G.; Lipner, A.; Antonietti, M.; Wang, X. Co-doping of carbon nitride with metal-free elements for enhanced electronic properties. J. Phys. Chem. C 2012, 116 (15), 8413–8420. </w:t>
      </w:r>
      <w:r>
        <w:rPr>
          <w:i/>
          <w:color w:val="004D40"/>
          <w:sz w:val="18"/>
        </w:rPr>
        <w:t>doi:10.1021/jp3014264</w:t>
      </w:r>
    </w:p>
    <w:p>
      <w:pPr>
        <w:spacing w:after="60"/>
        <w:ind w:left="576"/>
      </w:pPr>
      <w:r>
        <w:rPr>
          <w:b/>
        </w:rPr>
        <w:t xml:space="preserve">18. </w:t>
      </w:r>
      <w:r>
        <w:t xml:space="preserve">Cao, S.; Low, J.; Yu, J.; Jaroniec, M. Polymeric Photocatalysts Based on Graphitic Carbon Nitride. Adv. Mater. 2015, 27 (13), 2150–2176. </w:t>
      </w:r>
      <w:r>
        <w:rPr>
          <w:i/>
          <w:color w:val="004D40"/>
          <w:sz w:val="18"/>
        </w:rPr>
        <w:t>doi:10.1002/adma.201500033</w:t>
      </w:r>
    </w:p>
    <w:p>
      <w:pPr>
        <w:spacing w:after="60"/>
        <w:ind w:left="576"/>
      </w:pPr>
      <w:r>
        <w:rPr>
          <w:b/>
        </w:rPr>
        <w:t xml:space="preserve">19. </w:t>
      </w:r>
      <w:r>
        <w:t xml:space="preserve">Nasrollahi, F.; Koh, Y. R.; Chen, P.; Varshney, S.; Webster, T. J. 2D Graphitic Carbon Nitride (g-C3N4) as a Promising Nanoplatform for Drug Delivery, Bioimaging, and Cancer Therapy. Adv. Healthcare Mater. 2020, 9 (19), 2000731. </w:t>
      </w:r>
      <w:r>
        <w:rPr>
          <w:i/>
          <w:color w:val="004D40"/>
          <w:sz w:val="18"/>
        </w:rPr>
        <w:t>doi:10.1002/adhm.202000731</w:t>
      </w:r>
    </w:p>
    <w:p>
      <w:pPr>
        <w:spacing w:after="60"/>
        <w:ind w:left="576"/>
      </w:pPr>
      <w:r>
        <w:rPr>
          <w:b/>
        </w:rPr>
        <w:t xml:space="preserve">20. </w:t>
      </w:r>
      <w:r>
        <w:t xml:space="preserve">Talari, M.; Farhadi, S. Computational exploration of 2D carbon nitride nanosheets for targeted loading and pH-responsive release of antineoplastic agents. J. Mol. Liq. 2021, 338, 116740. </w:t>
      </w:r>
      <w:r>
        <w:rPr>
          <w:i/>
          <w:color w:val="004D40"/>
          <w:sz w:val="18"/>
        </w:rPr>
        <w:t>doi:10.1016/j.molliq.2021.116740</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 Chem. Theory Comput.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Approaching DFT Quality (GFN1-xTB). J. Chem. Theory Comput.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J. Chem. Phys. 2019, 150 (15), 154122.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J. Chem. Phys. 2010, 132 (15), 154104. </w:t>
      </w:r>
      <w:r>
        <w:rPr>
          <w:i/>
          <w:color w:val="004D40"/>
          <w:sz w:val="18"/>
        </w:rPr>
        <w:t>doi:10.1063/1.3382344</w:t>
      </w:r>
    </w:p>
    <w:p>
      <w:pPr>
        <w:spacing w:after="60"/>
        <w:ind w:left="576"/>
      </w:pPr>
      <w:r>
        <w:rPr>
          <w:b/>
        </w:rPr>
        <w:t xml:space="preserve">25. </w:t>
      </w:r>
      <w:r>
        <w:t xml:space="preserve">Spicher, S.; Grimme, S. Robust Atomistic Modeling of Materials, Organometallic Complexes, and Noncovalent Interactions: GFN2-xTB. Angew. Chem. Int. Ed. 2020, 59 (36), 15665–15673. </w:t>
      </w:r>
      <w:r>
        <w:rPr>
          <w:i/>
          <w:color w:val="004D40"/>
          <w:sz w:val="18"/>
        </w:rPr>
        <w:t>doi:10.1002/anie.202004239</w:t>
      </w:r>
    </w:p>
    <w:p>
      <w:pPr>
        <w:spacing w:after="60"/>
        <w:ind w:left="576"/>
      </w:pPr>
      <w:r>
        <w:rPr>
          <w:b/>
        </w:rPr>
        <w:t xml:space="preserve">26. </w:t>
      </w:r>
      <w:r>
        <w:t xml:space="preserve">Zheng, Y.; Jiao, Y.; Jaroniec, M.; Qiao, S. Z. Advancing the electrochemistry of 2D carbon nitride. Nat. Rev. Mater. 2018, 3, 17030.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properties and scenarios of applications. J. Mater. Chem. 2008, 18 (41), 4893–4908. </w:t>
      </w:r>
      <w:r>
        <w:rPr>
          <w:i/>
          <w:color w:val="004D40"/>
          <w:sz w:val="18"/>
        </w:rPr>
        <w:t>doi:10.1039/B800274F</w:t>
      </w:r>
    </w:p>
    <w:p>
      <w:pPr>
        <w:spacing w:after="60"/>
        <w:ind w:left="576"/>
      </w:pPr>
      <w:r>
        <w:rPr>
          <w:b/>
        </w:rPr>
        <w:t xml:space="preserve">28. </w:t>
      </w:r>
      <w:r>
        <w:t xml:space="preserve">Geerlings, P.; De Proft, F.; Langenaeker, W. Conceptual Density Functional Theory. Chem. Rev.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 Comput. Chem. 2010,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 Chem. Inf. Model. 2021, 61 (8), 3891–3898. </w:t>
      </w:r>
      <w:r>
        <w:rPr>
          <w:i/>
          <w:color w:val="004D40"/>
          <w:sz w:val="18"/>
        </w:rPr>
        <w:t>doi:10.1021/acs.jcim.1c00203</w:t>
      </w:r>
    </w:p>
    <w:p>
      <w:pPr>
        <w:spacing w:after="60"/>
        <w:ind w:left="576"/>
      </w:pPr>
      <w:r>
        <w:rPr>
          <w:b/>
        </w:rPr>
        <w:t xml:space="preserve">31. </w:t>
      </w:r>
      <w:r>
        <w:t xml:space="preserve">Berman, H. M.; Westbrook, J.; Feng, Z.; Gilliland, G.; Bhat, T. N.; Weissig, H.; Shindyalov, I. N.; Bourne, P. E. The Protein Data Bank. Nucleic Acids Res.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 2021,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 Rev. Drug Discov.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 Am. Chem. Soc. 1999, 121 (9), 1922–1924. </w:t>
      </w:r>
      <w:r>
        <w:rPr>
          <w:i/>
          <w:color w:val="004D40"/>
          <w:sz w:val="18"/>
        </w:rPr>
        <w:t>doi:10.1021/ja983494x</w:t>
      </w:r>
    </w:p>
    <w:p>
      <w:pPr>
        <w:spacing w:after="60"/>
        <w:ind w:left="576"/>
      </w:pPr>
      <w:r>
        <w:rPr>
          <w:b/>
        </w:rPr>
        <w:t xml:space="preserve">37. </w:t>
      </w:r>
      <w:r>
        <w:t xml:space="preserve">Chattaraj, P. K.; Maiti, B.; Sarkar, U. Philicity Concept. J. Phys. Chem. A 2003, 107 (24),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Comb. Sci.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 Inform.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reflections. Appl. Stat. 1987, 36 (2), 181–191.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 Med. Chem.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QSAR/QSPR. J. Chem. Inf. Model. 2007, 47 (6), 2345–2357. </w:t>
      </w:r>
      <w:r>
        <w:rPr>
          <w:i/>
          <w:color w:val="004D40"/>
          <w:sz w:val="18"/>
        </w:rPr>
        <w:t>doi:10.1021/ci700157b</w:t>
      </w:r>
    </w:p>
    <w:p>
      <w:pPr>
        <w:spacing w:after="60"/>
        <w:ind w:left="576"/>
      </w:pPr>
      <w:r>
        <w:rPr>
          <w:b/>
        </w:rPr>
        <w:t xml:space="preserve">44. </w:t>
      </w:r>
      <w:r>
        <w:t xml:space="preserve">Pedregosa, F.; Varoquaux, G.; Gramfort, A.; Michel, V.; Thirion, B.; Grisel, O.; Blondel, M.; Prettenhofer, P.; Weiss, R.; Dubourg, V. et al. Scikit-learn: Machine Learning in Python. J. Mach. Learn. Res. 2011, 12, 2825–2830. </w:t>
      </w:r>
      <w:r>
        <w:rPr>
          <w:i/>
          <w:color w:val="004D40"/>
          <w:sz w:val="18"/>
        </w:rPr>
        <w:t>doi:10.48550/arXiv.1201.4497</w:t>
      </w:r>
    </w:p>
    <w:p>
      <w:pPr>
        <w:spacing w:after="60"/>
        <w:ind w:left="576"/>
      </w:pPr>
      <w:r>
        <w:rPr>
          <w:b/>
        </w:rPr>
        <w:t xml:space="preserve">45. </w:t>
      </w:r>
      <w:r>
        <w:t xml:space="preserve">Provenzano, P. P.; Cuevas, C.; Chang, A. E.; Goel, V. K.; Von Hoff, D. D.; Hingorani, S. R. Enzymatic targeting of the stroma ablates physical barriers to treat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2013,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doi:10.1126/science.1167104</w:t>
      </w:r>
    </w:p>
    <w:p>
      <w:pPr>
        <w:spacing w:after="60"/>
        <w:ind w:left="576"/>
      </w:pPr>
      <w:r>
        <w:rPr>
          <w:b/>
        </w:rPr>
        <w:t xml:space="preserve">48. </w:t>
      </w:r>
      <w:r>
        <w:t xml:space="preserve">Blanco, E.; Shen, H.; Ferrari, M. Principles of nanoparticle design for overcoming biological barriers to drug delivery. Nat. Biotechnol.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 Nanotechnol.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 Rev. Cancer 2017,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(12_Pt_1), 6387–6392. </w:t>
      </w:r>
      <w:r>
        <w:rPr>
          <w:i/>
          <w:color w:val="004D40"/>
          <w:sz w:val="18"/>
        </w:rPr>
        <w:t>doi:10.1016/0008-5472(86)90000-0</w:t>
      </w:r>
    </w:p>
    <w:p>
      <w:pPr>
        <w:spacing w:after="60"/>
        <w:ind w:left="576"/>
      </w:pPr>
      <w:r>
        <w:rPr>
          <w:b/>
        </w:rPr>
        <w:t xml:space="preserve">53. </w:t>
      </w:r>
      <w:r>
        <w:t xml:space="preserve">Mitchell, M. J.; Billingsley, M. M.; Haley, R. M.; Wechsler, M. E.; Peppas, N. A.; Langer, R. Engineering precision nanoparticles for drug delivery. Nat. Rev. Drug Discov. 2021, 20 (2), 101–124. </w:t>
      </w:r>
      <w:r>
        <w:rPr>
          <w:i/>
          <w:color w:val="004D40"/>
          <w:sz w:val="18"/>
        </w:rPr>
        <w:t>doi:10.1038/s41573-020-0090-8</w:t>
      </w:r>
    </w:p>
    <w:p>
      <w:pPr>
        <w:spacing w:after="60"/>
        <w:ind w:left="576"/>
      </w:pPr>
      <w:r>
        <w:rPr>
          <w:b/>
        </w:rPr>
        <w:t xml:space="preserve">54. </w:t>
      </w:r>
      <w:r>
        <w:t xml:space="preserve">Koppada, N.; Canon, J.; Borella, C.; Christopher, R.; Gaida, K.; Holt, T.; Lipford, J. R.; Saiki, A. Y.; San Miguel, T.; Van, G. et al. Mechanisms of Resistance to Direct KRAS(G12C) Inhibitors. Cancer Discov. 2020, 10 (1), 54–71. </w:t>
      </w:r>
      <w:r>
        <w:rPr>
          <w:i/>
          <w:color w:val="004D40"/>
          <w:sz w:val="18"/>
        </w:rPr>
        <w:t>doi:10.1158/2159-8290.CD-19-1144</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 Rev. Drug Discov. 2014, 13 (11), 828–851. </w:t>
      </w:r>
      <w:r>
        <w:rPr>
          <w:i/>
          <w:color w:val="004D40"/>
          <w:sz w:val="18"/>
        </w:rPr>
        <w:t>doi:10.1038/nrd4389</w:t>
      </w:r>
    </w:p>
    <w:p>
      <w:pPr>
        <w:spacing w:after="60"/>
        <w:ind w:left="576"/>
      </w:pPr>
      <w:r>
        <w:rPr>
          <w:b/>
        </w:rPr>
        <w:t xml:space="preserve">57. </w:t>
      </w:r>
      <w:r>
        <w:t xml:space="preserve">Kessler, D.; Gmachl, M.; Mantoulidis, A.; Martin, L. J.; Zoephel, A.; Mayer, M.; Schmiedinger, A.; Fischer, C.; Gerlach, D.; Rumpel, K. et al. Drugging an undruggable pocket on KRAS. Proc. Natl. Acad. Sci. U. S. A.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 2022, 12 (4), 924–937. </w:t>
      </w:r>
      <w:r>
        <w:rPr>
          <w:i/>
          <w:color w:val="004D40"/>
          <w:sz w:val="18"/>
        </w:rPr>
        <w:t>doi:10.1158/2159-8290.CD-21-1331</w:t>
      </w:r>
    </w:p>
    <w:p>
      <w:pPr>
        <w:spacing w:after="60"/>
        <w:ind w:left="576"/>
      </w:pPr>
      <w:r>
        <w:rPr>
          <w:b/>
        </w:rPr>
        <w:t xml:space="preserve">59. </w:t>
      </w:r>
      <w:r>
        <w:t xml:space="preserve">Lou, L. J.; Wang, C.; Guo, H. R.; Zhang, Y.; Zhao, Y. Progress in direct small-molecule inhibitors targeting mutant KRAS. Acta Pharm. Sin. B 2023, 13 (8), 3254–3273. </w:t>
      </w:r>
      <w:r>
        <w:rPr>
          <w:i/>
          <w:color w:val="004D40"/>
          <w:sz w:val="18"/>
        </w:rPr>
        <w:t>doi:10.1016/j.apsb.2023.05.008</w:t>
      </w:r>
    </w:p>
    <w:p>
      <w:pPr>
        <w:spacing w:after="60"/>
        <w:ind w:left="576"/>
      </w:pPr>
      <w:r>
        <w:rPr>
          <w:b/>
        </w:rPr>
        <w:t xml:space="preserve">60. </w:t>
      </w:r>
      <w:r>
        <w:t xml:space="preserve">Kim, D.; Herdeis, L.; Rudolph, D.; Zhao, Y.; Böttcher, J.; Vides, A.; Martin, G. J.; Tran, T. H.; Fetics, S. K.; Pagliuso, D.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Weng, M. T.; Tung, B. Y.; Chen, C. H.; Tseng, H. W.; Chang, Y. L.; Ni, Y. H. Nanotechnology-based therapeutic approaches in pancreatic cancer. World J. Gastrointest. Oncol. 2022, 14 (1), 74–95. </w:t>
      </w:r>
      <w:r>
        <w:rPr>
          <w:i/>
          <w:color w:val="004D40"/>
          <w:sz w:val="18"/>
        </w:rPr>
        <w:t>doi:10.4251/wjgo.v14.i1.74</w:t>
      </w:r>
    </w:p>
    <w:p>
      <w:pPr>
        <w:spacing w:after="60"/>
        <w:ind w:left="576"/>
      </w:pPr>
      <w:r>
        <w:rPr>
          <w:b/>
        </w:rPr>
        <w:t xml:space="preserve">62. </w:t>
      </w:r>
      <w:r>
        <w:t xml:space="preserve">Hanahan, D. Hallmarks of Cancer: New Dimensions. Cancer Discov.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Biology and Drug Development.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promise now a reality? Nat. Rev. Drug Discov. 2020, 19 (8), 533–552. </w:t>
      </w:r>
      <w:r>
        <w:rPr>
          <w:i/>
          <w:color w:val="004D40"/>
          <w:sz w:val="18"/>
        </w:rPr>
        <w:t>doi:10.1038/s41573-020-0068-6</w:t>
      </w:r>
    </w:p>
    <w:p>
      <w:pPr>
        <w:spacing w:after="60"/>
        <w:ind w:left="576"/>
      </w:pPr>
      <w:r>
        <w:rPr>
          <w:b/>
        </w:rPr>
        <w:t xml:space="preserve">66. </w:t>
      </w:r>
      <w:r>
        <w:t xml:space="preserve">Lu, Y.; Li, X.; Zhang, Y.; Wang, L.; Zhao, M.; He, Q. Pharmacokinetics, Bioavailability, and Tissue Distribution of MRTX1133 in Rats Using UHPLC-MS/MS. Front. Pharmacol. 2024, 15, 1509319. </w:t>
      </w:r>
      <w:r>
        <w:rPr>
          <w:i/>
          <w:color w:val="004D40"/>
          <w:sz w:val="18"/>
        </w:rPr>
        <w:t>doi:10.3389/fphar.2024.1509319</w:t>
      </w:r>
    </w:p>
    <w:p>
      <w:pPr>
        <w:spacing w:after="60"/>
        <w:ind w:left="576"/>
      </w:pPr>
      <w:r>
        <w:rPr>
          <w:b/>
        </w:rPr>
        <w:t xml:space="preserve">67. </w:t>
      </w:r>
      <w:r>
        <w:t xml:space="preserve">Li, Y.; Zhang, J.; Wang, X.; Chen, H.; Liu, Q. Biological degradation of graphitic carbon nitride sheets and autophagy induction in macrophages. Nanoscale 2025, DOI 10.1039/D5NR00795J. </w:t>
      </w:r>
      <w:r>
        <w:rPr>
          <w:i/>
          <w:color w:val="004D40"/>
          <w:sz w:val="18"/>
        </w:rPr>
        <w:t>doi:10.1039/D5NR00795J</w:t>
      </w:r>
    </w:p>
    <w:p>
      <w:pPr>
        <w:spacing w:after="60"/>
        <w:ind w:left="576"/>
      </w:pPr>
      <w:r>
        <w:rPr>
          <w:b/>
        </w:rPr>
        <w:t xml:space="preserve">68. </w:t>
      </w:r>
      <w:r>
        <w:t xml:space="preserve">Killock, D. Pan-RAS inhibitor daraxonrasib shows promise in pancreatic cancer. Nat. Rev. Clin. Oncol. 2026, 23, 475. </w:t>
      </w:r>
      <w:r>
        <w:rPr>
          <w:i/>
          <w:color w:val="004D40"/>
          <w:sz w:val="18"/>
        </w:rPr>
        <w:t>doi:10.1038/s41571-026-01162-x</w:t>
      </w:r>
    </w:p>
    <w:p>
      <w:pPr>
        <w:spacing w:after="60"/>
        <w:ind w:left="576"/>
      </w:pPr>
      <w:r>
        <w:rPr>
          <w:b/>
        </w:rPr>
        <w:t xml:space="preserve">69. </w:t>
      </w:r>
      <w:r>
        <w:t xml:space="preserve">Neese, F. Software update: The ORCA program system—Version 5.0/6.0. WIREs Comput. Mol. Sci. 2022, 12 (5), e1606. </w:t>
      </w:r>
      <w:r>
        <w:rPr>
          <w:i/>
          <w:color w:val="004D40"/>
          <w:sz w:val="18"/>
        </w:rPr>
        <w:t>doi:10.1002/wcms.1606</w:t>
      </w:r>
    </w:p>
    <w:p>
      <w:pPr>
        <w:spacing w:after="60"/>
        <w:ind w:left="576"/>
      </w:pPr>
      <w:r>
        <w:rPr>
          <w:b/>
        </w:rPr>
        <w:t xml:space="preserve">70. </w:t>
      </w:r>
      <w:r>
        <w:t xml:space="preserve">Becke, A. D. Density-functional thermochemistry. III. The role of exact exchange. J. Chem. Phys. 1993, 98 (7), 5648–5652. </w:t>
      </w:r>
      <w:r>
        <w:rPr>
          <w:i/>
          <w:color w:val="004D40"/>
          <w:sz w:val="18"/>
        </w:rPr>
        <w:t>doi:10.1063/1.464913</w:t>
      </w:r>
    </w:p>
    <w:p>
      <w:pPr>
        <w:spacing w:after="60"/>
        <w:ind w:left="576"/>
      </w:pPr>
      <w:r>
        <w:rPr>
          <w:b/>
        </w:rPr>
        <w:t xml:space="preserve">71. </w:t>
      </w:r>
      <w:r>
        <w:t xml:space="preserve">Grimme, S.; Ehrlich, S.; Goerigk, L. Effect of the damping function in dispersion corrected density functional theory. J. Comput. Chem. 2011, 32 (7), 1456–1465. </w:t>
      </w:r>
      <w:r>
        <w:rPr>
          <w:i/>
          <w:color w:val="004D40"/>
          <w:sz w:val="18"/>
        </w:rPr>
        <w:t>doi:10.1002/jcc.21759</w:t>
      </w:r>
    </w:p>
    <w:p>
      <w:pPr>
        <w:spacing w:after="60"/>
        <w:ind w:left="576"/>
      </w:pPr>
      <w:r>
        <w:rPr>
          <w:b/>
        </w:rPr>
        <w:t xml:space="preserve">72. </w:t>
      </w:r>
      <w:r>
        <w:t xml:space="preserve">Weigend, F.; Ahlrichs, R. Balanced basis sets of split valence, triple zeta valence and quadruple zeta valence quality for H to Rn: Design and assessment of accuracy. Phys. Chem. Chem. Phys. 2005, 7 (18), 3297–3305. </w:t>
      </w:r>
      <w:r>
        <w:rPr>
          <w:i/>
          <w:color w:val="004D40"/>
          <w:sz w:val="18"/>
        </w:rPr>
        <w:t>doi:10.1039/B508541A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