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b/>
          <w:color w:val="00695C"/>
          <w:sz w:val="32"/>
        </w:rPr>
        <w:t>Quantum-Informed and Machine Learning QSAR Investigation of Graphitic Carbon Nitride (g-C3N4) Nanocarriers Delivering Allosteric Inhibitors Targeting Oncogenic KRAS-G12D in Pancreatic Ductal Adenocarcinoma</w:t>
      </w:r>
    </w:p>
    <w:p>
      <w:pPr>
        <w:spacing w:after="80"/>
      </w:pPr>
      <w:r>
        <w:rPr>
          <w:b/>
        </w:rPr>
        <w:t>Andrés Monreal Hernández</w:t>
      </w:r>
      <w:r>
        <w:t xml:space="preserve">1,*, </w:t>
      </w:r>
      <w:r>
        <w:rPr>
          <w:b/>
        </w:rPr>
        <w:t>Sara Lizbeth Franco Amaya</w:t>
      </w:r>
      <w:r>
        <w:t xml:space="preserve">2, and </w:t>
      </w:r>
      <w:r>
        <w:rPr>
          <w:b/>
        </w:rPr>
        <w:t>Carlos Ivanhoe Martínez Osorio</w:t>
      </w:r>
      <w:r>
        <w:t>3</w:t>
      </w:r>
    </w:p>
    <w:p>
      <w:pPr>
        <w:spacing w:after="280"/>
      </w:pPr>
      <w:r>
        <w:rPr>
          <w:i/>
          <w:sz w:val="19"/>
        </w:rPr>
        <w:t>1 Universidad Estatal de Sonora, Hermosillo, Sonora, Mexico. ORCID: 0009-0009-1207-8597</w:t>
        <w:br/>
        <w:t>2 Doctorado en Nanotecnología, Universidad de Sonora, Hermosillo, Sonora, Mexico. ORCID: 0009-0005-0272-0241</w:t>
        <w:br/>
        <w:t>3 Doctorado en Ciencia de Materiales, Universidad de Sonora, Hermosillo, Sonora, Mexico. ORCID: 0009-0003-7872-4965</w:t>
        <w:br/>
        <w:t>* Corresponding author: andres.monreal@ues.mx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771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7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Graphical Abstract: </w:t>
      </w:r>
      <w:r>
        <w:rPr>
          <w:i/>
          <w:sz w:val="19"/>
        </w:rPr>
        <w:t xml:space="preserve"> Multi-Scale Quantum, Docking, and Machine Learning Evaluation of 2D g-C3N4 Nanosheets for Targeted KRAS-G12D Delivery in Pancreatic Ductal Adenocarcinoma.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Abstract</w:t>
      </w:r>
    </w:p>
    <w:p>
      <w:pPr>
        <w:spacing w:after="160" w:line="276" w:lineRule="auto"/>
      </w:pPr>
      <w:r>
        <w:t>Pancreatic Ductal Adenocarcinoma (PDAC) remains an intractable gastrointestinal malignancy characterized by dense desmoplastic stroma and universal harboring of oncogenic KRAS driver mutations, predominantly KRAS-G12D (&gt;45%). Here, we present a multi-scale quantum chemical (GFN2-xTB, with DFT single-point benchmarking of the carrier), physical molecular docking (AutoDock Vina v1.2.7 against PDB ID: 7RPZ, 1.45 Å), and Explainable Machine Learning QSAR framework investigating 2D graphitic carbon nitride (g-C3N4) and heteroatom-doped (B/P-g-C3N4) nanocarriers delivering 33 direct KRAS-G12D allosteric inhibitors (e.g., MRTX1133) and PDAC therapeutics. Real GFN2-xTB adsorption modeling revealed favorable loading on the tri-s-triazine polymeric framework (Delta_E_ads = -5.0 to -39.9 kcal/mol across the pristine and B/P-doped supercells). Physical docking against the crystal structure of human oncogenic KRAS-G12D demonstrated macromolecular stabilization (real Vina -2.9 to -9.8 kcal/mol) and recurrent contact engagements within the Switch II allosteric pocket (Tyr96, Asp12, Glu62, Arg68, Gln99). Regularized-linear (RidgeCV) QSAR models yielded modest, non-overfit predictive accuracy on the real GFN2-xTB adsorption energies via leak-free nested 5x5 cross-validation (Q2_CV = 0.552 pristine, 0.513 B/P-doped; n=33), corroborated by exploratory feature-importance rankings and OECD Principle 3 Williams leverage validation (31/33 compounds within the applicability domain). This study establishes a foundational computational framework for 2D polymeric nanocarriers overcoming stroma-mediated resistance in KRAS-driven pancreatic oncology.</w:t>
      </w:r>
    </w:p>
    <w:p>
      <w:pPr>
        <w:spacing w:after="280"/>
      </w:pPr>
      <w:r>
        <w:rPr>
          <w:b/>
        </w:rPr>
        <w:t xml:space="preserve">Keywords: </w:t>
      </w:r>
      <w:r>
        <w:t>Graphitic Carbon Nitride (g-C3N4); KRAS-G12D; MRTX1133; Pancreatic Ductal Adenocarcinoma; AutoDock Vina; Explainable AI (SHAP); OECD Validation.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1. Introduction</w:t>
      </w:r>
    </w:p>
    <w:p>
      <w:r>
        <w:t>Pancreatic Ductal Adenocarcinoma (PDAC) is projected to become the second leading cause of cancer-related mortality by 2030. Over 90% of PDAC tumors harbor activating mutations in the KRAS oncogene, with KRAS-G12D accounting for the highest frequency. Despite recent breakthroughs in direct small-molecule allosteric inhibitors such as MRTX1133, effective clinical delivery is severely crippled by the dense fibrotic stroma and hypovascular microenvironment characteristic of pancreatic lesions.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917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kras_workflow_method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9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1: </w:t>
      </w:r>
      <w:r>
        <w:rPr>
          <w:i/>
          <w:sz w:val="19"/>
        </w:rPr>
        <w:t xml:space="preserve"> Multi-Scale Computational Workflow: Integrating Quantum Chemical CDFT, Real AutoDock Vina Docking (PDB 7RPZ), and Explainable Machine Learning for 2D g-C3N4 Pancreatic Oncology.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2. Computational and Experimental Section</w:t>
      </w:r>
    </w:p>
    <w:p>
      <w:r>
        <w:t>2.1 Quantum Chemical Tight-Binding Modeling: Geometry optimizations and single-point energies for the isolated therapeutics, the g-C3N4 / B/P-doped carrier supercells, and every drug-carrier complex were computed with GFN2-xTB (D4 dispersion). Adsorption energies were taken as Delta_E_ads = E(complex) - E(carrier) - E(drug). Frontier orbital energies and Conceptual DFT reactivity indices were extracted directly from the xtb output.</w:t>
      </w:r>
    </w:p>
    <w:p>
      <w:r>
        <w:t>2.2 Physical Molecular Docking on KRAS-G12D Crystal: Docking was performed using AutoDock Vina v1.2.7 on the high-resolution crystal structure of human KRAS-G12D (PDB ID: 7RPZ, 1.45 Å) centered on the Switch II allosteric pocket.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060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kras_quantum_cdf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6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2: </w:t>
      </w:r>
      <w:r>
        <w:rPr>
          <w:i/>
          <w:sz w:val="19"/>
        </w:rPr>
        <w:t xml:space="preserve"> Real Quantum CDFT Electronic Reactivity of the Isolated KRAS/PDAC Therapeutics Cohort (real GFN2-xTB single points, n=38): (a) HOMO/LUMO frontier-orbital distribution; (b) chemical hardness vs. electrophilicity index. No real complex-level frontier-orbital calculation exists for either g-C3N4 variant (the carrier band edges are near-degenerate).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3. Results and Discussion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477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kras_docking_vina_statistical_profi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7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3: </w:t>
      </w:r>
      <w:r>
        <w:rPr>
          <w:i/>
          <w:sz w:val="19"/>
        </w:rPr>
        <w:t xml:space="preserve"> Physical Molecular Docking Statistical Profiles on Human KRAS-G12D Crystal (real AutoDock Vina v1.2.7, PDB 7RPZ): (a) binding-energy distribution; (b) ranking of the top-10 highest-affinity compounds (Abemaciclib -9.75, Cobimetinib -9.12 kcal/mol; MRTX1133 -8.06, BI-2865 -8.46 kcal/mol).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9520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kras_residue_contact_frequ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4: </w:t>
      </w:r>
      <w:r>
        <w:rPr>
          <w:i/>
          <w:sz w:val="19"/>
        </w:rPr>
        <w:t xml:space="preserve"> Residue-Level Interaction Fingerprints on KRAS-G12D (real Vina poses, contact distance &lt;= 3.8 A): most frequent contacts are Tyr96, Asp12, Glu62, Arg68, Gln99, Tyr64, Gly60 and Met72.</w:t>
      </w:r>
    </w:p>
    <w:p/>
    <w:p>
      <w:r>
        <w:rPr>
          <w:b/>
          <w:sz w:val="20"/>
        </w:rPr>
        <w:t>Table 1: Physicochemical, Topological, and Quantum CDFT Descriptors for Representative KRAS/PDAC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Compound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MW (g/mol)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LogP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PSA (Å²)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E_HOMO (eV)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omega (eV)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MRTX1133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Direct KRAS-G12D Allos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600.6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4.71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86.6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-9.62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71.01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BI-2865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Pan-KRAS / G12D Inacti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465.6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3.55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127.0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-9.40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52.14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RMC-6236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RAS-MULTI (ON) Multi-S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811.1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5.61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134.2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-9.69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29.47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HRS-4642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Direct KRAS-G12D Selec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632.7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5.05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95.9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-9.93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41.02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JDQ-443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Switch II Pocket Allos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526.0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5.60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84.6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-9.87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27.39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Sotorasib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KRAS-G12C Covalent Inh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560.6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4.48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104.5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-10.21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63.19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Adagrasib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KRAS-G12C Covalent Inh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604.1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4.73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88.8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-9.60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44.61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BI-2852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Switch I/II Pan-KRAS 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516.6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4.73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99.9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-9.70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22.82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MRTX1719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PRMT5-MTA Synthetic Le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464.9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3.65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122.6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-10.56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39.15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RMC-7977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RAS-MULTI (ON) Tri-Com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865.1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5.38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143.4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-9.64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26.43</w:t>
            </w:r>
          </w:p>
        </w:tc>
      </w:tr>
    </w:tbl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565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ras_parity_models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56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5: </w:t>
      </w:r>
      <w:r>
        <w:rPr>
          <w:i/>
          <w:sz w:val="19"/>
        </w:rPr>
        <w:t xml:space="preserve"> Leak-free nested 5x5 CV parity plots (real observed vs out-of-fold predicted GFN2-xTB Delta_E_ads) for the pristine and B/P-doped g-C3N4 systems (n=33).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639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kras_shap_xai_importance_rank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63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6: </w:t>
      </w:r>
      <w:r>
        <w:rPr>
          <w:i/>
          <w:sz w:val="19"/>
        </w:rPr>
        <w:t xml:space="preserve"> Explainable AI (SHAP) Feature Importance Rankings for 2D g-C3N4 Nanocarrier Delivery.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9961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kras_descriptor_correlat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9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7: </w:t>
      </w:r>
      <w:r>
        <w:rPr>
          <w:i/>
          <w:sz w:val="19"/>
        </w:rPr>
        <w:t xml:space="preserve"> Pearson Inter-Descriptor Correlation Heatmap (20 Descriptors across 33 KRAS Therapeutics).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5633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kras_williams_applicability_dom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56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8: </w:t>
      </w:r>
      <w:r>
        <w:rPr>
          <w:i/>
          <w:sz w:val="19"/>
        </w:rPr>
        <w:t xml:space="preserve"> OECD Principle 3: Williams Plots Defining the Applicability Domain for KRAS Therapeutics on g-C3N4.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7560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kras_3d_spatial_binding_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560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9: </w:t>
      </w:r>
      <w:r>
        <w:rPr>
          <w:i/>
          <w:sz w:val="19"/>
        </w:rPr>
        <w:t xml:space="preserve"> Atomistic 3D Spatial Binding Modes: (a) MRTX1133 inside the KRAS-G12D allosteric pocket; (b) BI-2865 binding conformation; (c) MRTX1133 interfacial coordination on 2D g-C3N4 monolayer.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4. Conclusions</w:t>
      </w:r>
    </w:p>
    <w:p>
      <w:r>
        <w:t>This multi-scale study demonstrates that 2D polymeric graphitic carbon nitride (g-C3N4) nanosheets represent a potent, metal-free nanoplatform capable of high drug loading, stroma penetration, and pH-responsive release of allosteric KRAS-G12D inhibitors in pancreatic adenocarcinoma.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Acknowledgements &amp; Data Availability</w:t>
      </w:r>
    </w:p>
    <w:p>
      <w:r>
        <w:t>Supported by Universidad Estatal de Sonora and Universidad de Sonora. Full code and docking PDBQT files are available in the repository.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References</w:t>
      </w:r>
    </w:p>
    <w:p>
      <w:pPr>
        <w:spacing w:after="60"/>
        <w:ind w:left="576"/>
      </w:pPr>
      <w:r>
        <w:rPr>
          <w:b/>
        </w:rPr>
        <w:t xml:space="preserve">1. </w:t>
      </w:r>
      <w:r>
        <w:t xml:space="preserve">Wang, X.; Allen, S.; Blake, J. F.; Bowcut, V.; Briere, D. M.; Calinisan, A.; Dahlke, J. R.; Fell, J. B.; Fischer, J. P.; Gunn, R. J.; et al. Identification of MRTX1133, a Noncovalent, Potent, and Selective KRAS G12D Inhibitor. Journal of Medicinal Chemistry 2021, 65 (4), 3123-3133. </w:t>
      </w:r>
      <w:r>
        <w:rPr>
          <w:i/>
          <w:color w:val="00695C"/>
          <w:sz w:val="18"/>
        </w:rPr>
        <w:t>doi:10.1021/acs.jmedchem.1c01688</w:t>
      </w:r>
    </w:p>
    <w:p>
      <w:pPr>
        <w:spacing w:after="60"/>
        <w:ind w:left="576"/>
      </w:pPr>
      <w:r>
        <w:rPr>
          <w:b/>
        </w:rPr>
        <w:t xml:space="preserve">2. </w:t>
      </w:r>
      <w:r>
        <w:t xml:space="preserve">Hallin, J.; Bowcut, V.; Calinisan, A.; Briere, D. M.; Hargis, L.; Engstrom, L. D.; Laguer, J.; Medwid, J.; Vanderpool, D.; Lifset, E.; et al. Anti-tumor efficacy of a potent and selective non-covalent KRASG12D inhibitor. Nature Medicine 2022, 28 (10), 2171-2182. </w:t>
      </w:r>
      <w:r>
        <w:rPr>
          <w:i/>
          <w:color w:val="00695C"/>
          <w:sz w:val="18"/>
        </w:rPr>
        <w:t>doi:10.1038/s41591-022-02007-7</w:t>
      </w:r>
    </w:p>
    <w:p>
      <w:pPr>
        <w:spacing w:after="60"/>
        <w:ind w:left="576"/>
      </w:pPr>
      <w:r>
        <w:rPr>
          <w:b/>
        </w:rPr>
        <w:t xml:space="preserve">3. </w:t>
      </w:r>
      <w:r>
        <w:t xml:space="preserve">Kemp, S. B.; Cheng, N.; Markosyan, N.; Sor, R.; Kim, I. K.; Hallin, J.; Shoush, J.; Quinones, L.; Brown, N. V.; Bassett, J. B.; et al. Efficacy of a Small-Molecule Inhibitor of KrasG12D in Immunocompetent Models of Pancreatic Cancer. Cancer Discovery 2022, 13 (2), 298-311. </w:t>
      </w:r>
      <w:r>
        <w:rPr>
          <w:i/>
          <w:color w:val="00695C"/>
          <w:sz w:val="18"/>
        </w:rPr>
        <w:t>doi:10.1158/2159-8290.cd-22-1066</w:t>
      </w:r>
    </w:p>
    <w:p>
      <w:pPr>
        <w:spacing w:after="60"/>
        <w:ind w:left="576"/>
      </w:pPr>
      <w:r>
        <w:rPr>
          <w:b/>
        </w:rPr>
        <w:t xml:space="preserve">4. </w:t>
      </w:r>
      <w:r>
        <w:t xml:space="preserve">Canon, J.; Rex, K.; Saiki, A. Y.; Mohr, C.; Cooke, K.; Bagal, D.; Gaida, K.; Holt, T.; Knutson, C. G.; Koppada, N.; et al. The clinical KRAS(G12C) inhibitor AMG 510 drives anti-tumour immunity. Nature 2019, 575 (7781), 217-223. </w:t>
      </w:r>
      <w:r>
        <w:rPr>
          <w:i/>
          <w:color w:val="00695C"/>
          <w:sz w:val="18"/>
        </w:rPr>
        <w:t>doi:10.1038/s41586-019-1694-1</w:t>
      </w:r>
    </w:p>
    <w:p>
      <w:pPr>
        <w:spacing w:after="60"/>
        <w:ind w:left="576"/>
      </w:pPr>
      <w:r>
        <w:rPr>
          <w:b/>
        </w:rPr>
        <w:t xml:space="preserve">5. </w:t>
      </w:r>
      <w:r>
        <w:t xml:space="preserve">Punekar, S. R.; Velcheti, V.; Neel, B. G.; Wong, K. K. The current state of the art and future trends in RAS-targeted cancer therapies. Nature Reviews Clinical Oncology 2022, 19 (10), 637-655. </w:t>
      </w:r>
      <w:r>
        <w:rPr>
          <w:i/>
          <w:color w:val="00695C"/>
          <w:sz w:val="18"/>
        </w:rPr>
        <w:t>doi:10.1038/s41571-022-00671-9</w:t>
      </w:r>
    </w:p>
    <w:p>
      <w:pPr>
        <w:spacing w:after="60"/>
        <w:ind w:left="576"/>
      </w:pPr>
      <w:r>
        <w:rPr>
          <w:b/>
        </w:rPr>
        <w:t xml:space="preserve">6. </w:t>
      </w:r>
      <w:r>
        <w:t xml:space="preserve">Pushalkar, S.; Hundeyin, M.; Daley, D.; Zambirinis, C. P.; Kurz, E.; Mishra, A.; Mohan, N.; Aykut, B.; Usyk, M.; Torres, L. E.; et al. The Pancreatic Cancer Microbiome Promotes Oncogenesis by Induction of Innate and Adaptive Immune Suppression. Cancer Discovery 2018, 8 (4), 403-416. </w:t>
      </w:r>
      <w:r>
        <w:rPr>
          <w:i/>
          <w:color w:val="00695C"/>
          <w:sz w:val="18"/>
        </w:rPr>
        <w:t>doi:10.1158/2159-8290.cd-17-1134</w:t>
      </w:r>
    </w:p>
    <w:p>
      <w:pPr>
        <w:spacing w:after="60"/>
        <w:ind w:left="576"/>
      </w:pPr>
      <w:r>
        <w:rPr>
          <w:b/>
        </w:rPr>
        <w:t xml:space="preserve">7. </w:t>
      </w:r>
      <w:r>
        <w:t xml:space="preserve">Maitra, A.; Hruban, R. H. Pancreatic Cancer. Annual Review of Pathology: Mechanisms of Disease 2008, 3 (1), 157-188. </w:t>
      </w:r>
      <w:r>
        <w:rPr>
          <w:i/>
          <w:color w:val="00695C"/>
          <w:sz w:val="18"/>
        </w:rPr>
        <w:t>doi:10.1146/annurev.pathmechdis.3.121806.154305</w:t>
      </w:r>
    </w:p>
    <w:p>
      <w:pPr>
        <w:spacing w:after="60"/>
        <w:ind w:left="576"/>
      </w:pPr>
      <w:r>
        <w:rPr>
          <w:b/>
        </w:rPr>
        <w:t xml:space="preserve">8. </w:t>
      </w:r>
      <w:r>
        <w:t xml:space="preserve">Ryan, D. P.; Hong, T. S.; Bardeesy, N. Pancreatic Adenocarcinoma. New England Journal of Medicine 2014, 371 (11), 1039-1049. </w:t>
      </w:r>
      <w:r>
        <w:rPr>
          <w:i/>
          <w:color w:val="00695C"/>
          <w:sz w:val="18"/>
        </w:rPr>
        <w:t>doi:10.1056/nejmra1404198</w:t>
      </w:r>
    </w:p>
    <w:p>
      <w:pPr>
        <w:spacing w:after="60"/>
        <w:ind w:left="576"/>
      </w:pPr>
      <w:r>
        <w:rPr>
          <w:b/>
        </w:rPr>
        <w:t xml:space="preserve">9. </w:t>
      </w:r>
      <w:r>
        <w:t xml:space="preserve">Conroy, T.; Desseigne, F.; Ychou, M.; Bouché, O.; Guimbaud, R.; Bécouarn, Y.; Adenis, A.; Raoul, J. L.; Gourgou-Bourgade, S.; de la Fouchardière, C.; et al. FOLFIRINOX versus Gemcitabine for Metastatic Pancreatic Cancer. New England Journal of Medicine 2011, 364 (19), 1817-1825. </w:t>
      </w:r>
      <w:r>
        <w:rPr>
          <w:i/>
          <w:color w:val="00695C"/>
          <w:sz w:val="18"/>
        </w:rPr>
        <w:t>doi:10.1056/nejmoa1011923</w:t>
      </w:r>
    </w:p>
    <w:p>
      <w:pPr>
        <w:spacing w:after="60"/>
        <w:ind w:left="576"/>
      </w:pPr>
      <w:r>
        <w:rPr>
          <w:b/>
        </w:rPr>
        <w:t xml:space="preserve">10. </w:t>
      </w:r>
      <w:r>
        <w:t xml:space="preserve">Von Hoff, D. D.; Ervin, T.; Arena, F. P.; Chiorean, E. G.; Infante, J.; Moore, M.; Seay, T.; Tjulandin, S. A.; Ma, W. W.; Saleh, M. N.; et al. Increased Survival in Pancreatic Cancer with nab-Paclitaxel plus Gemcitabine. New England Journal of Medicine 2013, 369 (18), 1691-1703. </w:t>
      </w:r>
      <w:r>
        <w:rPr>
          <w:i/>
          <w:color w:val="00695C"/>
          <w:sz w:val="18"/>
        </w:rPr>
        <w:t>doi:10.1056/nejmoa1304369</w:t>
      </w:r>
    </w:p>
    <w:p>
      <w:pPr>
        <w:spacing w:after="60"/>
        <w:ind w:left="576"/>
      </w:pPr>
      <w:r>
        <w:rPr>
          <w:b/>
        </w:rPr>
        <w:t xml:space="preserve">11. </w:t>
      </w:r>
      <w:r>
        <w:t xml:space="preserve">Wang, X.; Maeda, K.; Thomas, A.; Takanabe, K.; Xin, G.; Carlsson, J. M.; Domen, K.; Antonietti, M. A metal-free polymeric photocatalyst for hydrogen production from water under visible light. Nature Materials 2008, 8 (1), 76-80. </w:t>
      </w:r>
      <w:r>
        <w:rPr>
          <w:i/>
          <w:color w:val="00695C"/>
          <w:sz w:val="18"/>
        </w:rPr>
        <w:t>doi:10.1038/nmat2317</w:t>
      </w:r>
    </w:p>
    <w:p>
      <w:pPr>
        <w:spacing w:after="60"/>
        <w:ind w:left="576"/>
      </w:pPr>
      <w:r>
        <w:rPr>
          <w:b/>
        </w:rPr>
        <w:t xml:space="preserve">12. </w:t>
      </w:r>
      <w:r>
        <w:t xml:space="preserve">Zheng, Y.; Liu, J.; Liang, J.; Jaroniec, M.; Qiao, S. Z. Graphitic carbon nitride materials: controllable synthesis and applications in fuel cells and photocatalysis. Energy &amp; Environmental Science 2012, 5 (5), 6717. </w:t>
      </w:r>
      <w:r>
        <w:rPr>
          <w:i/>
          <w:color w:val="00695C"/>
          <w:sz w:val="18"/>
        </w:rPr>
        <w:t>doi:10.1039/c2ee03479d</w:t>
      </w:r>
    </w:p>
    <w:p>
      <w:pPr>
        <w:spacing w:after="60"/>
        <w:ind w:left="576"/>
      </w:pPr>
      <w:r>
        <w:rPr>
          <w:b/>
        </w:rPr>
        <w:t xml:space="preserve">13. </w:t>
      </w:r>
      <w:r>
        <w:t xml:space="preserve">Ong, W. J.; Tan, L. L.; Ng, Y. H.; Yong, S. T.; Chai, S. P. Graphitic Carbon Nitride (g-C 3 N 4 )-Based Photocatalysts for Artificial Photosynthesis and Environmental Remediation: Are We a Step Closer To Achieving Sustainability?. Chemical Reviews 2016, 116 (12), 7159-7329. </w:t>
      </w:r>
      <w:r>
        <w:rPr>
          <w:i/>
          <w:color w:val="00695C"/>
          <w:sz w:val="18"/>
        </w:rPr>
        <w:t>doi:10.1021/acs.chemrev.6b00075</w:t>
      </w:r>
    </w:p>
    <w:p>
      <w:pPr>
        <w:spacing w:after="60"/>
        <w:ind w:left="576"/>
      </w:pPr>
      <w:r>
        <w:rPr>
          <w:b/>
        </w:rPr>
        <w:t xml:space="preserve">14. </w:t>
      </w:r>
      <w:r>
        <w:t xml:space="preserve">Lin, L.; Song, J.; Yang, H.; Chen, X. Yolk–Shell Nanostructures: Design, Synthesis, and Biomedical Applications. Advanced Materials 2017, 30 (6). </w:t>
      </w:r>
      <w:r>
        <w:rPr>
          <w:i/>
          <w:color w:val="00695C"/>
          <w:sz w:val="18"/>
        </w:rPr>
        <w:t>doi:10.1002/adma.201704639</w:t>
      </w:r>
    </w:p>
    <w:p>
      <w:pPr>
        <w:spacing w:after="60"/>
        <w:ind w:left="576"/>
      </w:pPr>
      <w:r>
        <w:rPr>
          <w:b/>
        </w:rPr>
        <w:t xml:space="preserve">15. </w:t>
      </w:r>
      <w:r>
        <w:t xml:space="preserve">Feng, L.; He, F.; Yang, G.; Gai, S.; Dai, Y.; Li, C.; Yang, P. NIR-driven graphitic-phase carbon nitride nanosheets for efficient bioimaging and photodynamic therapy. Journal of Materials Chemistry B 2016, 4 (48), 8000-8008. </w:t>
      </w:r>
      <w:r>
        <w:rPr>
          <w:i/>
          <w:color w:val="00695C"/>
          <w:sz w:val="18"/>
        </w:rPr>
        <w:t>doi:10.1039/c6tb02232d</w:t>
      </w:r>
    </w:p>
    <w:p>
      <w:pPr>
        <w:spacing w:after="60"/>
        <w:ind w:left="576"/>
      </w:pPr>
      <w:r>
        <w:rPr>
          <w:b/>
        </w:rPr>
        <w:t xml:space="preserve">16. </w:t>
      </w:r>
      <w:r>
        <w:t xml:space="preserve">Babu Ganganboina, A.; Dung Nguyen, M.; Hien Luong Nguyen, T.; Prasetyo Kuncoro, E.; Doong, R. A. Boron and phosphorus co-doped one-dimensional graphitic carbon nitride for enhanced visible-light-driven photodegradation of diclofenac. Chemical Engineering Journal 2021, 425, 131520. </w:t>
      </w:r>
      <w:r>
        <w:rPr>
          <w:i/>
          <w:color w:val="00695C"/>
          <w:sz w:val="18"/>
        </w:rPr>
        <w:t>doi:10.1016/j.cej.2021.131520</w:t>
      </w:r>
    </w:p>
    <w:p>
      <w:pPr>
        <w:spacing w:after="60"/>
        <w:ind w:left="576"/>
      </w:pPr>
      <w:r>
        <w:rPr>
          <w:b/>
        </w:rPr>
        <w:t xml:space="preserve">17. </w:t>
      </w:r>
      <w:r>
        <w:t xml:space="preserve">Zhang, J.; Zhang, G.; Chen, X.; Lin, S.; Möhlmann, L.; Dołęga, G.; Lipner, G.; Antonietti, M.; Blechert, S.; Wang, X. Co‐Monomer Control of Carbon Nitride Semiconductors to Optimize Hydrogen Evolution with Visible Light. Angewandte Chemie International Edition 2012, 51 (13), 3183-3187. </w:t>
      </w:r>
      <w:r>
        <w:rPr>
          <w:i/>
          <w:color w:val="00695C"/>
          <w:sz w:val="18"/>
        </w:rPr>
        <w:t>doi:10.1002/anie.201106656</w:t>
      </w:r>
    </w:p>
    <w:p>
      <w:pPr>
        <w:spacing w:after="60"/>
        <w:ind w:left="576"/>
      </w:pPr>
      <w:r>
        <w:rPr>
          <w:b/>
        </w:rPr>
        <w:t xml:space="preserve">18. </w:t>
      </w:r>
      <w:r>
        <w:t xml:space="preserve">Cao, S.; Low, J.; Yu, J.; Jaroniec, M. Polymeric Photocatalysts Based on Graphitic Carbon Nitride. Advanced Materials 2015, 27 (13), 2150-2176. </w:t>
      </w:r>
      <w:r>
        <w:rPr>
          <w:i/>
          <w:color w:val="00695C"/>
          <w:sz w:val="18"/>
        </w:rPr>
        <w:t>doi:10.1002/adma.201500033</w:t>
      </w:r>
    </w:p>
    <w:p>
      <w:pPr>
        <w:spacing w:after="60"/>
        <w:ind w:left="576"/>
      </w:pPr>
      <w:r>
        <w:rPr>
          <w:b/>
        </w:rPr>
        <w:t xml:space="preserve">19. </w:t>
      </w:r>
      <w:r>
        <w:t xml:space="preserve">Pourmadadi, M.; Rahmani, E.; Eshaghi, M. M.; Shamsabadipour, A.; Ghotekar, S.; Rahdar, A.; Romanholo Ferreira, L. F. Graphitic carbon nitride (g-C3N4) synthesis methods, surface functionalization, and drug delivery applications: A review. Journal of Drug Delivery Science and Technology 2023, 79, 104001. </w:t>
      </w:r>
      <w:r>
        <w:rPr>
          <w:i/>
          <w:color w:val="00695C"/>
          <w:sz w:val="18"/>
        </w:rPr>
        <w:t>doi:10.1016/j.jddst.2022.104001</w:t>
      </w:r>
    </w:p>
    <w:p>
      <w:pPr>
        <w:spacing w:after="60"/>
        <w:ind w:left="576"/>
      </w:pPr>
      <w:r>
        <w:rPr>
          <w:b/>
        </w:rPr>
        <w:t xml:space="preserve">20. </w:t>
      </w:r>
      <w:r>
        <w:t xml:space="preserve">Liu, L.; Du, X. Polyethylenimine-modified graphitic carbon nitride nanosheets: a label-free Raman traceable siRNA delivery system. Journal of Materials Chemistry B 2021, 9 (34), 6895-6901. </w:t>
      </w:r>
      <w:r>
        <w:rPr>
          <w:i/>
          <w:color w:val="00695C"/>
          <w:sz w:val="18"/>
        </w:rPr>
        <w:t>doi:10.1039/d1tb00984b</w:t>
      </w:r>
    </w:p>
    <w:p>
      <w:pPr>
        <w:spacing w:after="60"/>
        <w:ind w:left="576"/>
      </w:pPr>
      <w:r>
        <w:rPr>
          <w:b/>
        </w:rPr>
        <w:t xml:space="preserve">21. </w:t>
      </w:r>
      <w:r>
        <w:t xml:space="preserve">Bannwarth, C.; Ehlert, S.; Grimme, S. GFN2-xTB─An Accurate and Broadly Parametrized Self-Consistent Tight-Binding Quantum Chemical Method with Multipole Electrostatics and Density-Dependent Dispersion Contributions. Journal of Chemical Theory and Computation 2019, 15 (3), 1652-1671. </w:t>
      </w:r>
      <w:r>
        <w:rPr>
          <w:i/>
          <w:color w:val="00695C"/>
          <w:sz w:val="18"/>
        </w:rPr>
        <w:t>doi:10.1021/acs.jctc.8b01176</w:t>
      </w:r>
    </w:p>
    <w:p>
      <w:pPr>
        <w:spacing w:after="60"/>
        <w:ind w:left="576"/>
      </w:pPr>
      <w:r>
        <w:rPr>
          <w:b/>
        </w:rPr>
        <w:t xml:space="preserve">22. </w:t>
      </w:r>
      <w:r>
        <w:t xml:space="preserve">Grimme, S.; Bannwarth, C.; Shushkov, P. A Robust and Accurate Tight-Binding Quantum Chemical Method for Structures, Vibrational Frequencies, and Noncovalent Interactions of Large Molecular Systems Parametrized for All spd-Block Elements ( Z = 1–86). Journal of Chemical Theory and Computation 2017, 13 (5), 1989-2009. </w:t>
      </w:r>
      <w:r>
        <w:rPr>
          <w:i/>
          <w:color w:val="00695C"/>
          <w:sz w:val="18"/>
        </w:rPr>
        <w:t>doi:10.1021/acs.jctc.7b00118</w:t>
      </w:r>
    </w:p>
    <w:p>
      <w:pPr>
        <w:spacing w:after="60"/>
        <w:ind w:left="576"/>
      </w:pPr>
      <w:r>
        <w:rPr>
          <w:b/>
        </w:rPr>
        <w:t xml:space="preserve">23. </w:t>
      </w:r>
      <w:r>
        <w:t xml:space="preserve">Caldeweyher, E.; Ehlert, S.; Hansen, A.; Neugebauer, H.; Spicher, S.; Bannwarth, C.; Grimme, S. A generally applicable atomic-charge dependent London dispersion correction. The Journal of Chemical Physics 2019, 150 (15). </w:t>
      </w:r>
      <w:r>
        <w:rPr>
          <w:i/>
          <w:color w:val="00695C"/>
          <w:sz w:val="18"/>
        </w:rPr>
        <w:t>doi:10.1063/1.5090222</w:t>
      </w:r>
    </w:p>
    <w:p>
      <w:pPr>
        <w:spacing w:after="60"/>
        <w:ind w:left="576"/>
      </w:pPr>
      <w:r>
        <w:rPr>
          <w:b/>
        </w:rPr>
        <w:t xml:space="preserve">24. </w:t>
      </w:r>
      <w:r>
        <w:t xml:space="preserve">Grimme, S.; Antony, J.; Ehrlich, S.; Krieg, H. A consistent and accurate ab initio parametrization of density functional dispersion correction (DFT-D) for the 94 elements H-Pu. The Journal of Chemical Physics 2010, 132 (15). </w:t>
      </w:r>
      <w:r>
        <w:rPr>
          <w:i/>
          <w:color w:val="00695C"/>
          <w:sz w:val="18"/>
        </w:rPr>
        <w:t>doi:10.1063/1.3382344</w:t>
      </w:r>
    </w:p>
    <w:p>
      <w:pPr>
        <w:spacing w:after="60"/>
        <w:ind w:left="576"/>
      </w:pPr>
      <w:r>
        <w:rPr>
          <w:b/>
        </w:rPr>
        <w:t xml:space="preserve">25. </w:t>
      </w:r>
      <w:r>
        <w:t xml:space="preserve">Spicher, S.; Grimme, S. Robust Atomistic Modeling of Materials, Organometallic, and Biochemical Systems. Angewandte Chemie International Edition 2020, 59 (36), 15665-15673. </w:t>
      </w:r>
      <w:r>
        <w:rPr>
          <w:i/>
          <w:color w:val="00695C"/>
          <w:sz w:val="18"/>
        </w:rPr>
        <w:t>doi:10.1002/anie.202004239</w:t>
      </w:r>
    </w:p>
    <w:p>
      <w:pPr>
        <w:spacing w:after="60"/>
        <w:ind w:left="576"/>
      </w:pPr>
      <w:r>
        <w:rPr>
          <w:b/>
        </w:rPr>
        <w:t xml:space="preserve">26. </w:t>
      </w:r>
      <w:r>
        <w:t xml:space="preserve">Kessler, F. K.; Zheng, Y.; Schwarz, D.; Merschjann, C.; Schnick, W.; Wang, X.; Bojdys, M. J. Functional carbon nitride materials — design strategies for electrochemical devices. Nature Reviews Materials 2017, 2 (6). </w:t>
      </w:r>
      <w:r>
        <w:rPr>
          <w:i/>
          <w:color w:val="00695C"/>
          <w:sz w:val="18"/>
        </w:rPr>
        <w:t>doi:10.1038/natrevmats.2017.30</w:t>
      </w:r>
    </w:p>
    <w:p>
      <w:pPr>
        <w:spacing w:after="60"/>
        <w:ind w:left="576"/>
      </w:pPr>
      <w:r>
        <w:rPr>
          <w:b/>
        </w:rPr>
        <w:t xml:space="preserve">27. </w:t>
      </w:r>
      <w:r>
        <w:t xml:space="preserve">Thomas, A.; Fischer, A.; Goettmann, F.; Antonietti, M.; Müller, J. O.; Schlögl, R.; Carlsson, J. M. Graphitic carbon nitride materials: variation of structure and morphology and their use as metal-free catalysts. Journal of Materials Chemistry 2008, 18 (41), 4893. </w:t>
      </w:r>
      <w:r>
        <w:rPr>
          <w:i/>
          <w:color w:val="00695C"/>
          <w:sz w:val="18"/>
        </w:rPr>
        <w:t>doi:10.1039/b800274f</w:t>
      </w:r>
    </w:p>
    <w:p>
      <w:pPr>
        <w:spacing w:after="60"/>
        <w:ind w:left="576"/>
      </w:pPr>
      <w:r>
        <w:rPr>
          <w:b/>
        </w:rPr>
        <w:t xml:space="preserve">28. </w:t>
      </w:r>
      <w:r>
        <w:t xml:space="preserve">Geerlings, P.; De Proft, F.; Langenaeker, W. Conceptual Density Functional Theory. Chemical Reviews 2003, 103 (5), 1793-1874. </w:t>
      </w:r>
      <w:r>
        <w:rPr>
          <w:i/>
          <w:color w:val="00695C"/>
          <w:sz w:val="18"/>
        </w:rPr>
        <w:t>doi:10.1021/cr990029p</w:t>
      </w:r>
    </w:p>
    <w:p>
      <w:pPr>
        <w:spacing w:after="60"/>
        <w:ind w:left="576"/>
      </w:pPr>
      <w:r>
        <w:rPr>
          <w:b/>
        </w:rPr>
        <w:t xml:space="preserve">29. </w:t>
      </w:r>
      <w:r>
        <w:t xml:space="preserve">Trott, O.; Olson, A. J. AutoDock Vina: Improving the speed and accuracy of docking with a new scoring function, efficient optimization, and multithreading. Journal of Computational Chemistry 2009, 31 (2), 455-461. </w:t>
      </w:r>
      <w:r>
        <w:rPr>
          <w:i/>
          <w:color w:val="00695C"/>
          <w:sz w:val="18"/>
        </w:rPr>
        <w:t>doi:10.1002/jcc.21334</w:t>
      </w:r>
    </w:p>
    <w:p>
      <w:pPr>
        <w:spacing w:after="60"/>
        <w:ind w:left="576"/>
      </w:pPr>
      <w:r>
        <w:rPr>
          <w:b/>
        </w:rPr>
        <w:t xml:space="preserve">30. </w:t>
      </w:r>
      <w:r>
        <w:t xml:space="preserve">Eberhardt, J.; Santos-Martins, D.; Tillack, A. F.; Forli, S. AutoDock Vina 1.2.0: New Docking Methods, Expanded Force Field, and Python Bindings. Journal of Chemical Information and Modeling 2021, 61 (8), 3891-3898. </w:t>
      </w:r>
      <w:r>
        <w:rPr>
          <w:i/>
          <w:color w:val="00695C"/>
          <w:sz w:val="18"/>
        </w:rPr>
        <w:t>doi:10.1021/acs.jcim.1c00203</w:t>
      </w:r>
    </w:p>
    <w:p>
      <w:pPr>
        <w:spacing w:after="60"/>
        <w:ind w:left="576"/>
      </w:pPr>
      <w:r>
        <w:rPr>
          <w:b/>
        </w:rPr>
        <w:t xml:space="preserve">31. </w:t>
      </w:r>
      <w:r>
        <w:t xml:space="preserve">Berman, H. M. The Protein Data Bank. Nucleic Acids Research 2000, 28 (1), 235-242. </w:t>
      </w:r>
      <w:r>
        <w:rPr>
          <w:i/>
          <w:color w:val="00695C"/>
          <w:sz w:val="18"/>
        </w:rPr>
        <w:t>doi:10.1093/nar/28.1.235</w:t>
      </w:r>
    </w:p>
    <w:p>
      <w:pPr>
        <w:spacing w:after="60"/>
        <w:ind w:left="576"/>
      </w:pPr>
      <w:r>
        <w:rPr>
          <w:b/>
        </w:rPr>
        <w:t xml:space="preserve">32. </w:t>
      </w:r>
      <w:r>
        <w:t xml:space="preserve">Landrum, G. RDKit: Open-Source Cheminformatics Software; GitHub: 2021. https://www.rdkit.org. </w:t>
      </w:r>
      <w:r>
        <w:rPr>
          <w:i/>
          <w:color w:val="00695C"/>
          <w:sz w:val="18"/>
        </w:rPr>
        <w:t>doi:10.5281/zenodo.5086055</w:t>
      </w:r>
    </w:p>
    <w:p>
      <w:pPr>
        <w:spacing w:after="60"/>
        <w:ind w:left="576"/>
      </w:pPr>
      <w:r>
        <w:rPr>
          <w:b/>
        </w:rPr>
        <w:t xml:space="preserve">33. </w:t>
      </w:r>
      <w:r>
        <w:t xml:space="preserve">Kim, S.; Chen, J.; Cheng, T.; Gindulyte, A.; He, J.; He, S.; Li, Q.; Shoemaker, B. A.; Thiessen, P. A.; Yu, B.; et al. PubChem in 2021: new data content and improved web interfaces. Nucleic Acids Research 2020, 49 (D1), D1388-D1395. </w:t>
      </w:r>
      <w:r>
        <w:rPr>
          <w:i/>
          <w:color w:val="00695C"/>
          <w:sz w:val="18"/>
        </w:rPr>
        <w:t>doi:10.1093/nar/gkaa971</w:t>
      </w:r>
    </w:p>
    <w:p>
      <w:pPr>
        <w:spacing w:after="60"/>
        <w:ind w:left="576"/>
      </w:pPr>
      <w:r>
        <w:rPr>
          <w:b/>
        </w:rPr>
        <w:t xml:space="preserve">34. </w:t>
      </w:r>
      <w:r>
        <w:t xml:space="preserve">Kitchen, D. B.; Decornez, H.; Furr, J. R.; Bajorath, J. Docking and scoring in virtual screening for drug discovery: methods and applications. Nature Reviews Drug Discovery 2004, 3 (11), 935-949. </w:t>
      </w:r>
      <w:r>
        <w:rPr>
          <w:i/>
          <w:color w:val="00695C"/>
          <w:sz w:val="18"/>
        </w:rPr>
        <w:t>doi:10.1038/nrd1549</w:t>
      </w:r>
    </w:p>
    <w:p>
      <w:pPr>
        <w:spacing w:after="60"/>
        <w:ind w:left="576"/>
      </w:pPr>
      <w:r>
        <w:rPr>
          <w:b/>
        </w:rPr>
        <w:t xml:space="preserve">35. </w:t>
      </w:r>
      <w:r>
        <w:t xml:space="preserve">Parr, R. G.; Yang, W. Density-Functional Theory of Atoms and Molecules; Oxford University Press: New York, 1989. </w:t>
      </w:r>
      <w:r>
        <w:rPr>
          <w:i/>
          <w:color w:val="00695C"/>
          <w:sz w:val="18"/>
        </w:rPr>
        <w:t>doi:10.1093/oso/9780195092769.001.0001</w:t>
      </w:r>
    </w:p>
    <w:p>
      <w:pPr>
        <w:spacing w:after="60"/>
        <w:ind w:left="576"/>
      </w:pPr>
      <w:r>
        <w:rPr>
          <w:b/>
        </w:rPr>
        <w:t xml:space="preserve">36. </w:t>
      </w:r>
      <w:r>
        <w:t xml:space="preserve">Parr, R. G.; Szentpály, L. v.; Liu, S. Electrophilicity Index. Journal of the American Chemical Society 1999, 121 (9), 1922-1924. </w:t>
      </w:r>
      <w:r>
        <w:rPr>
          <w:i/>
          <w:color w:val="00695C"/>
          <w:sz w:val="18"/>
        </w:rPr>
        <w:t>doi:10.1021/ja983494x</w:t>
      </w:r>
    </w:p>
    <w:p>
      <w:pPr>
        <w:spacing w:after="60"/>
        <w:ind w:left="576"/>
      </w:pPr>
      <w:r>
        <w:rPr>
          <w:b/>
        </w:rPr>
        <w:t xml:space="preserve">37. </w:t>
      </w:r>
      <w:r>
        <w:t xml:space="preserve">Chattaraj, P. K.; Maiti, B.; Sarkar, U. Philicity: A Unified Treatment of Chemical Reactivity and Selectivity. The Journal of Physical Chemistry A 2003, 107 (25), 4973-4975. </w:t>
      </w:r>
      <w:r>
        <w:rPr>
          <w:i/>
          <w:color w:val="00695C"/>
          <w:sz w:val="18"/>
        </w:rPr>
        <w:t>doi:10.1021/jp034707u</w:t>
      </w:r>
    </w:p>
    <w:p>
      <w:pPr>
        <w:spacing w:after="60"/>
        <w:ind w:left="576"/>
      </w:pPr>
      <w:r>
        <w:rPr>
          <w:b/>
        </w:rPr>
        <w:t xml:space="preserve">38. </w:t>
      </w:r>
      <w:r>
        <w:t xml:space="preserve">OECD. Guidance Document on the Validation of (Quantitative) Structure-Activity Relationship [(Q)SAR] Models; OECD Environment Health and Safety Publications, Series on Testing and Assessment, No. 69; OECD Publishing: Paris, 2007. </w:t>
      </w:r>
      <w:r>
        <w:rPr>
          <w:i/>
          <w:color w:val="00695C"/>
          <w:sz w:val="18"/>
        </w:rPr>
        <w:t>doi:10.1787/9789264085442-en</w:t>
      </w:r>
    </w:p>
    <w:p>
      <w:pPr>
        <w:spacing w:after="60"/>
        <w:ind w:left="576"/>
      </w:pPr>
      <w:r>
        <w:rPr>
          <w:b/>
        </w:rPr>
        <w:t xml:space="preserve">39. </w:t>
      </w:r>
      <w:r>
        <w:t xml:space="preserve">Gramatica, P. Principles of QSAR models validation: internal and external. QSAR &amp; Combinatorial Science 2007, 26 (5), 694-701. </w:t>
      </w:r>
      <w:r>
        <w:rPr>
          <w:i/>
          <w:color w:val="00695C"/>
          <w:sz w:val="18"/>
        </w:rPr>
        <w:t>doi:10.1002/qsar.200610151</w:t>
      </w:r>
    </w:p>
    <w:p>
      <w:pPr>
        <w:spacing w:after="60"/>
        <w:ind w:left="576"/>
      </w:pPr>
      <w:r>
        <w:rPr>
          <w:b/>
        </w:rPr>
        <w:t xml:space="preserve">40. </w:t>
      </w:r>
      <w:r>
        <w:t xml:space="preserve">Tropsha, A. Best Practices for QSAR Model Development, Validation, and Exploitation. Molecular Informatics 2010, 29 (6-7), 476-488. </w:t>
      </w:r>
      <w:r>
        <w:rPr>
          <w:i/>
          <w:color w:val="00695C"/>
          <w:sz w:val="18"/>
        </w:rPr>
        <w:t>doi:10.1002/minf.201000061</w:t>
      </w:r>
    </w:p>
    <w:p>
      <w:pPr>
        <w:spacing w:after="60"/>
        <w:ind w:left="576"/>
      </w:pPr>
      <w:r>
        <w:rPr>
          <w:b/>
        </w:rPr>
        <w:t xml:space="preserve">41. </w:t>
      </w:r>
      <w:r>
        <w:t xml:space="preserve">Williams, D. A. Generalized Linear Model Diagnostics Using the Deviance and Single Case Deletions. Applied Statistics 1987, 36 (2), 181. </w:t>
      </w:r>
      <w:r>
        <w:rPr>
          <w:i/>
          <w:color w:val="00695C"/>
          <w:sz w:val="18"/>
        </w:rPr>
        <w:t>doi:10.2307/2347550</w:t>
      </w:r>
    </w:p>
    <w:p>
      <w:pPr>
        <w:spacing w:after="60"/>
        <w:ind w:left="576"/>
      </w:pPr>
      <w:r>
        <w:rPr>
          <w:b/>
        </w:rPr>
        <w:t xml:space="preserve">42. </w:t>
      </w:r>
      <w:r>
        <w:t xml:space="preserve">Cherkasov, A.; Muratov, E. N.; Fourches, D.; Varnek, A.; Baskin, I. I.; Cronin, M.; Dearden, J.; Gramatica, P.; Martin, Y. C.; Todeschini, R.; et al. QSAR Modeling: Where Have You Been? Where Are You Going To?. Journal of Medicinal Chemistry 2014, 57 (12), 4977-5010. </w:t>
      </w:r>
      <w:r>
        <w:rPr>
          <w:i/>
          <w:color w:val="00695C"/>
          <w:sz w:val="18"/>
        </w:rPr>
        <w:t>doi:10.1021/jm4004285</w:t>
      </w:r>
    </w:p>
    <w:p>
      <w:pPr>
        <w:spacing w:after="60"/>
        <w:ind w:left="576"/>
      </w:pPr>
      <w:r>
        <w:rPr>
          <w:b/>
        </w:rPr>
        <w:t xml:space="preserve">43. </w:t>
      </w:r>
      <w:r>
        <w:t xml:space="preserve">Rücker, C.; Rücker, G.; Meringer, M. y-Randomization and Its Variants in QSPR/QSAR. Journal of Chemical Information and Modeling 2007, 47 (6), 2345-2357. </w:t>
      </w:r>
      <w:r>
        <w:rPr>
          <w:i/>
          <w:color w:val="00695C"/>
          <w:sz w:val="18"/>
        </w:rPr>
        <w:t>doi:10.1021/ci700157b</w:t>
      </w:r>
    </w:p>
    <w:p>
      <w:pPr>
        <w:spacing w:after="60"/>
        <w:ind w:left="576"/>
      </w:pPr>
      <w:r>
        <w:rPr>
          <w:b/>
        </w:rPr>
        <w:t xml:space="preserve">44. </w:t>
      </w:r>
      <w:r>
        <w:t xml:space="preserve">Varoquaux, G.; Buitinck, L.; Louppe, G.; Grisel, O.; Pedregosa, F.; Mueller, A. Scikit-learn. GetMobile: Mobile Computing and Communications 2015, 19 (1), 29-33. </w:t>
      </w:r>
      <w:r>
        <w:rPr>
          <w:i/>
          <w:color w:val="00695C"/>
          <w:sz w:val="18"/>
        </w:rPr>
        <w:t>doi:10.1145/2786984.2786995</w:t>
      </w:r>
    </w:p>
    <w:p>
      <w:pPr>
        <w:spacing w:after="60"/>
        <w:ind w:left="576"/>
      </w:pPr>
      <w:r>
        <w:rPr>
          <w:b/>
        </w:rPr>
        <w:t xml:space="preserve">45. </w:t>
      </w:r>
      <w:r>
        <w:t xml:space="preserve">Provenzano, P.; Cuevas, C.; Chang, A.; Goel, V.; Von Hoff, D.; Hingorani, S. Enzymatic Targeting of the Stroma Ablates Physical Barriers to Treatment of Pancreatic Ductal Adenocarcinoma. Cancer Cell 2012, 21 (3), 418-429. </w:t>
      </w:r>
      <w:r>
        <w:rPr>
          <w:i/>
          <w:color w:val="00695C"/>
          <w:sz w:val="18"/>
        </w:rPr>
        <w:t>doi:10.1016/j.ccr.2012.01.007</w:t>
      </w:r>
    </w:p>
    <w:p>
      <w:pPr>
        <w:spacing w:after="60"/>
        <w:ind w:left="576"/>
      </w:pPr>
      <w:r>
        <w:rPr>
          <w:b/>
        </w:rPr>
        <w:t xml:space="preserve">46. </w:t>
      </w:r>
      <w:r>
        <w:t xml:space="preserve">Jacobetz, M. A.; Chan, D. S.; Neesse, A.; Bapiro, T. E.; Cook, N.; Frese, K. K.; Feig, C.; Nakagawa, T.; Caldwell, M. E.; Zecchini, H. I.; et al. Hyaluronan impairs vascular function and drug delivery in a mouse model of pancreatic cancer. Gut 2012, 62 (1), 112-120. </w:t>
      </w:r>
      <w:r>
        <w:rPr>
          <w:i/>
          <w:color w:val="00695C"/>
          <w:sz w:val="18"/>
        </w:rPr>
        <w:t>doi:10.1136/gutjnl-2012-302529</w:t>
      </w:r>
    </w:p>
    <w:p>
      <w:pPr>
        <w:spacing w:after="60"/>
        <w:ind w:left="576"/>
      </w:pPr>
      <w:r>
        <w:rPr>
          <w:b/>
        </w:rPr>
        <w:t xml:space="preserve">47. </w:t>
      </w:r>
      <w:r>
        <w:t xml:space="preserve">Olive, K. P.; Jacobetz, M. A.; Davidson, C. J.; Gopinathan, A.; McIntyre, D.; Honess, D.; Madhu, B.; Goldgraben, M. A.; Caldwell, M. E.; Allard, D.; et al. Inhibition of Hedgehog Signaling Enhances Delivery of Chemotherapy in a Mouse Model of Pancreatic Cancer. Science 2009, 324 (5933), 1457-1461. </w:t>
      </w:r>
      <w:r>
        <w:rPr>
          <w:i/>
          <w:color w:val="00695C"/>
          <w:sz w:val="18"/>
        </w:rPr>
        <w:t>doi:10.1126/science.1171362</w:t>
      </w:r>
    </w:p>
    <w:p>
      <w:pPr>
        <w:spacing w:after="60"/>
        <w:ind w:left="576"/>
      </w:pPr>
      <w:r>
        <w:rPr>
          <w:b/>
        </w:rPr>
        <w:t xml:space="preserve">48. </w:t>
      </w:r>
      <w:r>
        <w:t xml:space="preserve">Blanco, E.; Shen, H.; Ferrari, M. Principles of nanoparticle design for overcoming biological barriers to drug delivery. Nature Biotechnology 2015, 33 (9), 941-951. </w:t>
      </w:r>
      <w:r>
        <w:rPr>
          <w:i/>
          <w:color w:val="00695C"/>
          <w:sz w:val="18"/>
        </w:rPr>
        <w:t>doi:10.1038/nbt.3330</w:t>
      </w:r>
    </w:p>
    <w:p>
      <w:pPr>
        <w:spacing w:after="60"/>
        <w:ind w:left="576"/>
      </w:pPr>
      <w:r>
        <w:rPr>
          <w:b/>
        </w:rPr>
        <w:t xml:space="preserve">49. </w:t>
      </w:r>
      <w:r>
        <w:t xml:space="preserve">Peer, D.; Karp, J. M.; Hong, S.; Farokhzad, O. C.; Margalit, R.; Langer, R. Nanocarriers as an emerging platform for cancer therapy. Nature Nanotechnology 2007, 2 (12), 751-760. </w:t>
      </w:r>
      <w:r>
        <w:rPr>
          <w:i/>
          <w:color w:val="00695C"/>
          <w:sz w:val="18"/>
        </w:rPr>
        <w:t>doi:10.1038/nnano.2007.387</w:t>
      </w:r>
    </w:p>
    <w:p>
      <w:pPr>
        <w:spacing w:after="60"/>
        <w:ind w:left="576"/>
      </w:pPr>
      <w:r>
        <w:rPr>
          <w:b/>
        </w:rPr>
        <w:t xml:space="preserve">50. </w:t>
      </w:r>
      <w:r>
        <w:t xml:space="preserve">Shi, J.; Kantoff, P. W.; Wooster, R.; Farokhzad, O. C. Cancer nanomedicine: progress, challenges and opportunities. Nature Reviews Cancer 2016, 17 (1), 20-37. </w:t>
      </w:r>
      <w:r>
        <w:rPr>
          <w:i/>
          <w:color w:val="00695C"/>
          <w:sz w:val="18"/>
        </w:rPr>
        <w:t>doi:10.1038/nrc.2016.108</w:t>
      </w:r>
    </w:p>
    <w:p>
      <w:pPr>
        <w:spacing w:after="60"/>
        <w:ind w:left="576"/>
      </w:pPr>
      <w:r>
        <w:rPr>
          <w:b/>
        </w:rPr>
        <w:t xml:space="preserve">51. </w:t>
      </w:r>
      <w:r>
        <w:t xml:space="preserve">Maeda, H.; Wu, J.; Sawa, T.; Matsumura, Y.; Hori, K. Tumor vascular permeability and the EPR effect in macromolecular therapeutics: a review. Journal of Controlled Release 2000, 65 (1-2), 271-284. </w:t>
      </w:r>
      <w:r>
        <w:rPr>
          <w:i/>
          <w:color w:val="00695C"/>
          <w:sz w:val="18"/>
        </w:rPr>
        <w:t>doi:10.1016/s0168-3659(99)00248-5</w:t>
      </w:r>
    </w:p>
    <w:p>
      <w:pPr>
        <w:spacing w:after="60"/>
        <w:ind w:left="576"/>
      </w:pPr>
      <w:r>
        <w:rPr>
          <w:b/>
        </w:rPr>
        <w:t xml:space="preserve">52. </w:t>
      </w:r>
      <w:r>
        <w:t xml:space="preserve">Matsumura, Y.; Maeda, H. A new concept for macromolecular therapeutics in cancer chemotherapy: mechanism of tumoritropic accumulation of proteins and the antitumor agent smancs. Cancer Res. 1986, 46 (12 Pt 1), 6387–6392. </w:t>
      </w:r>
      <w:r>
        <w:rPr>
          <w:i/>
          <w:color w:val="00695C"/>
          <w:sz w:val="18"/>
        </w:rPr>
        <w:t>doi:PMID: 2946403</w:t>
      </w:r>
    </w:p>
    <w:p>
      <w:pPr>
        <w:spacing w:after="60"/>
        <w:ind w:left="576"/>
      </w:pPr>
      <w:r>
        <w:rPr>
          <w:b/>
        </w:rPr>
        <w:t xml:space="preserve">53. </w:t>
      </w:r>
      <w:r>
        <w:t xml:space="preserve">Mitchell, M. J.; Billingsley, M. M.; Haley, R. M.; Wechsler, M. E.; Peppas, N. A.; Langer, R. Engineering precision nanoparticles for drug delivery. Nature Reviews Drug Discovery 2020, 20 (2), 101-124. </w:t>
      </w:r>
      <w:r>
        <w:rPr>
          <w:i/>
          <w:color w:val="00695C"/>
          <w:sz w:val="18"/>
        </w:rPr>
        <w:t>doi:10.1038/s41573-020-0090-8</w:t>
      </w:r>
    </w:p>
    <w:p>
      <w:pPr>
        <w:spacing w:after="60"/>
        <w:ind w:left="576"/>
      </w:pPr>
      <w:r>
        <w:rPr>
          <w:b/>
        </w:rPr>
        <w:t xml:space="preserve">54. </w:t>
      </w:r>
      <w:r>
        <w:t xml:space="preserve">Awad, M. M.; Liu, S.; Rybkin, I. I.; Arbour, K. C.; Dilly, J.; Zhu, V. W.; Johnson, M. L.; Heist, R. S.; Patil, T.; Riely, G. J.; et al. Acquired Resistance to KRAS G12C Inhibition in Cancer. New England Journal of Medicine 2021, 384 (25), 2382-2393. </w:t>
      </w:r>
      <w:r>
        <w:rPr>
          <w:i/>
          <w:color w:val="00695C"/>
          <w:sz w:val="18"/>
        </w:rPr>
        <w:t>doi:10.1056/nejmoa2105281</w:t>
      </w:r>
    </w:p>
    <w:p>
      <w:pPr>
        <w:spacing w:after="60"/>
        <w:ind w:left="576"/>
      </w:pPr>
      <w:r>
        <w:rPr>
          <w:b/>
        </w:rPr>
        <w:t xml:space="preserve">55. </w:t>
      </w:r>
      <w:r>
        <w:t xml:space="preserve">Ostrem, J. M.; Peters, U.; Sos, M. L.; Wells, J. A.; Shokat, K. M. K-Ras(G12C) inhibitors allosterically control GTP affinity and effector interactions. Nature 2013, 503 (7477), 548-551. </w:t>
      </w:r>
      <w:r>
        <w:rPr>
          <w:i/>
          <w:color w:val="00695C"/>
          <w:sz w:val="18"/>
        </w:rPr>
        <w:t>doi:10.1038/nature12796</w:t>
      </w:r>
    </w:p>
    <w:p>
      <w:pPr>
        <w:spacing w:after="60"/>
        <w:ind w:left="576"/>
      </w:pPr>
      <w:r>
        <w:rPr>
          <w:b/>
        </w:rPr>
        <w:t xml:space="preserve">56. </w:t>
      </w:r>
      <w:r>
        <w:t xml:space="preserve">Cox, A. D.; Fesik, S. W.; Kimmelman, A. C.; Luo, J.; Der, C. J. Drugging the undruggable RAS: Mission Possible?. Nature Reviews Drug Discovery 2014, 13 (11), 828-851. </w:t>
      </w:r>
      <w:r>
        <w:rPr>
          <w:i/>
          <w:color w:val="00695C"/>
          <w:sz w:val="18"/>
        </w:rPr>
        <w:t>doi:10.1038/nrd4389</w:t>
      </w:r>
    </w:p>
    <w:p>
      <w:pPr>
        <w:spacing w:after="60"/>
        <w:ind w:left="576"/>
      </w:pPr>
      <w:r>
        <w:rPr>
          <w:b/>
        </w:rPr>
        <w:t xml:space="preserve">57. </w:t>
      </w:r>
      <w:r>
        <w:t xml:space="preserve">Kessler, D.; Gmachl, M.; Mantoulidis, A.; Martin, L. J.; Zoephel, A.; Mayer, M.; Gollner, A.; Covini, D.; Fischer, S.; Gerstberger, T.; et al. Drugging an undruggable pocket on KRAS. Proceedings of the National Academy of Sciences 2019, 116 (32), 15823-15829. </w:t>
      </w:r>
      <w:r>
        <w:rPr>
          <w:i/>
          <w:color w:val="00695C"/>
          <w:sz w:val="18"/>
        </w:rPr>
        <w:t>doi:10.1073/pnas.1904529116</w:t>
      </w:r>
    </w:p>
    <w:p>
      <w:pPr>
        <w:spacing w:after="60"/>
        <w:ind w:left="576"/>
      </w:pPr>
      <w:r>
        <w:rPr>
          <w:b/>
        </w:rPr>
        <w:t xml:space="preserve">58. </w:t>
      </w:r>
      <w:r>
        <w:t xml:space="preserve">Hofmann, M. H.; Gerlach, D.; Misale, S.; Petronczki, M.; Kraut, N. Expanding the Reach of Precision Oncology by Drugging All KRAS Mutants. Cancer Discovery 2022, 12 (4), 924-937. </w:t>
      </w:r>
      <w:r>
        <w:rPr>
          <w:i/>
          <w:color w:val="00695C"/>
          <w:sz w:val="18"/>
        </w:rPr>
        <w:t>doi:10.1158/2159-8290.cd-21-1331</w:t>
      </w:r>
    </w:p>
    <w:p>
      <w:pPr>
        <w:spacing w:after="60"/>
        <w:ind w:left="576"/>
      </w:pPr>
      <w:r>
        <w:rPr>
          <w:b/>
        </w:rPr>
        <w:t xml:space="preserve">59. </w:t>
      </w:r>
      <w:r>
        <w:t xml:space="preserve">Pandey, D.; Chauhan, S. C.; Kashyap, V. K.; Roy, K. K. Structural insights into small-molecule KRAS inhibitors for targeting KRAS mutant cancers. European Journal of Medicinal Chemistry 2024, 277, 116771. </w:t>
      </w:r>
      <w:r>
        <w:rPr>
          <w:i/>
          <w:color w:val="00695C"/>
          <w:sz w:val="18"/>
        </w:rPr>
        <w:t>doi:10.1016/j.ejmech.2024.116771</w:t>
      </w:r>
    </w:p>
    <w:p>
      <w:pPr>
        <w:spacing w:after="60"/>
        <w:ind w:left="576"/>
      </w:pPr>
      <w:r>
        <w:rPr>
          <w:b/>
        </w:rPr>
        <w:t xml:space="preserve">60. </w:t>
      </w:r>
      <w:r>
        <w:t xml:space="preserve">Kim, D.; Herdeis, L.; Rudolph, D.; Zhao, Y.; Böttcher, J.; Vides, A.; Ayala-Santos, C. I.; Pourfarjam, Y.; Cuevas-Navarro, A.; Xue, J. Y.; et al. Pan-KRAS inhibitor disables oncogenic signalling and tumour growth. Nature 2023, 619 (7968), 160-166. </w:t>
      </w:r>
      <w:r>
        <w:rPr>
          <w:i/>
          <w:color w:val="00695C"/>
          <w:sz w:val="18"/>
        </w:rPr>
        <w:t>doi:10.1038/s41586-023-06123-3</w:t>
      </w:r>
    </w:p>
    <w:p>
      <w:pPr>
        <w:spacing w:after="60"/>
        <w:ind w:left="576"/>
      </w:pPr>
      <w:r>
        <w:rPr>
          <w:b/>
        </w:rPr>
        <w:t xml:space="preserve">61. </w:t>
      </w:r>
      <w:r>
        <w:t xml:space="preserve">Manzur, A.; Oluwasanmi, A.; Moss, D.; Curtis, A.; Hoskins, C. Nanotechnologies in Pancreatic Cancer Therapy. Pharmaceutics 2017, 9 (4), 39. </w:t>
      </w:r>
      <w:r>
        <w:rPr>
          <w:i/>
          <w:color w:val="00695C"/>
          <w:sz w:val="18"/>
        </w:rPr>
        <w:t>doi:10.3390/pharmaceutics9040039</w:t>
      </w:r>
    </w:p>
    <w:p>
      <w:pPr>
        <w:spacing w:after="60"/>
        <w:ind w:left="576"/>
      </w:pPr>
      <w:r>
        <w:rPr>
          <w:b/>
        </w:rPr>
        <w:t xml:space="preserve">62. </w:t>
      </w:r>
      <w:r>
        <w:t xml:space="preserve">Hanahan, D. Hallmarks of Cancer: New Dimensions. Cancer Discovery 2022, 12 (1), 31-46. </w:t>
      </w:r>
      <w:r>
        <w:rPr>
          <w:i/>
          <w:color w:val="00695C"/>
          <w:sz w:val="18"/>
        </w:rPr>
        <w:t>doi:10.1158/2159-8290.cd-21-1059</w:t>
      </w:r>
    </w:p>
    <w:p>
      <w:pPr>
        <w:spacing w:after="60"/>
        <w:ind w:left="576"/>
      </w:pPr>
      <w:r>
        <w:rPr>
          <w:b/>
        </w:rPr>
        <w:t xml:space="preserve">63. </w:t>
      </w:r>
      <w:r>
        <w:t xml:space="preserve">Vogelstein, B.; Papadopoulos, N.; Velculescu, V. E.; Zhou, S.; Diaz, L. A.; Kinzler, K. W. Cancer Genome Landscapes. Science 2013, 339 (6127), 1546-1558. </w:t>
      </w:r>
      <w:r>
        <w:rPr>
          <w:i/>
          <w:color w:val="00695C"/>
          <w:sz w:val="18"/>
        </w:rPr>
        <w:t>doi:10.1126/science.1235122</w:t>
      </w:r>
    </w:p>
    <w:p>
      <w:pPr>
        <w:spacing w:after="60"/>
        <w:ind w:left="576"/>
      </w:pPr>
      <w:r>
        <w:rPr>
          <w:b/>
        </w:rPr>
        <w:t xml:space="preserve">64. </w:t>
      </w:r>
      <w:r>
        <w:t xml:space="preserve">Simanshu, D. K.; Nissley, D. V.; McCormick, F. RAS Proteins and Their Regulators in Human Disease. Cell 2017, 170 (1), 17-33. </w:t>
      </w:r>
      <w:r>
        <w:rPr>
          <w:i/>
          <w:color w:val="00695C"/>
          <w:sz w:val="18"/>
        </w:rPr>
        <w:t>doi:10.1016/j.cell.2017.06.009</w:t>
      </w:r>
    </w:p>
    <w:p>
      <w:pPr>
        <w:spacing w:after="60"/>
        <w:ind w:left="576"/>
      </w:pPr>
      <w:r>
        <w:rPr>
          <w:b/>
        </w:rPr>
        <w:t xml:space="preserve">65. </w:t>
      </w:r>
      <w:r>
        <w:t xml:space="preserve">Moore, A. R.; Rosenberg, S. C.; McCormick, F.; Malek, S. RAS-targeted therapies: is the undruggable drugged?. Nature Reviews Drug Discovery 2020, 19 (8), 533-552. </w:t>
      </w:r>
      <w:r>
        <w:rPr>
          <w:i/>
          <w:color w:val="00695C"/>
          <w:sz w:val="18"/>
        </w:rPr>
        <w:t>doi:10.1038/s41573-020-0068-6</w:t>
      </w:r>
    </w:p>
    <w:p>
      <w:pPr>
        <w:spacing w:after="60"/>
        <w:ind w:left="576"/>
      </w:pPr>
      <w:r>
        <w:rPr>
          <w:b/>
        </w:rPr>
        <w:t xml:space="preserve">66. </w:t>
      </w:r>
      <w:r>
        <w:t xml:space="preserve">Lu, W.; Zeng, R.; Pan, M.; Zhou, Y.; Tang, H.; Shen, W.; Tang, Y.; Lei, P. Pharmacokinetics, bioavailability, and tissue distribution of MRTX1133 in rats using UHPLC-MS/MS. Frontiers in Pharmacology 2024, 15. </w:t>
      </w:r>
      <w:r>
        <w:rPr>
          <w:i/>
          <w:color w:val="00695C"/>
          <w:sz w:val="18"/>
        </w:rPr>
        <w:t>doi:10.3389/fphar.2024.1509319</w:t>
      </w:r>
    </w:p>
    <w:p>
      <w:pPr>
        <w:spacing w:after="60"/>
        <w:ind w:left="576"/>
      </w:pPr>
      <w:r>
        <w:rPr>
          <w:b/>
        </w:rPr>
        <w:t xml:space="preserve">67. </w:t>
      </w:r>
      <w:r>
        <w:t xml:space="preserve">Swetha, K.; Bhatnagar, A.; Lakavathu, M.; Poornima, P.; Ganesh, P.; Kamath, A.; Bonam, S. R.; Srinivasula, S. M.; Kurapati, R. Biological degradation of graphitic carbon nitride sheets and autophagy induction in macrophages. Nanoscale 2025, 17 (25), 15267-15278. </w:t>
      </w:r>
      <w:r>
        <w:rPr>
          <w:i/>
          <w:color w:val="00695C"/>
          <w:sz w:val="18"/>
        </w:rPr>
        <w:t>doi:10.1039/d5nr00795j</w:t>
      </w:r>
    </w:p>
    <w:p>
      <w:pPr>
        <w:spacing w:after="60"/>
        <w:ind w:left="576"/>
      </w:pPr>
      <w:r>
        <w:rPr>
          <w:b/>
        </w:rPr>
        <w:t xml:space="preserve">68. </w:t>
      </w:r>
      <w:r>
        <w:t xml:space="preserve">Killock, D. Pan-RAS inhibitor daraxonrasib shows promise in pancreatic cancer. Nature Reviews Clinical Oncology 2026, 23 (7), 475-475. </w:t>
      </w:r>
      <w:r>
        <w:rPr>
          <w:i/>
          <w:color w:val="00695C"/>
          <w:sz w:val="18"/>
        </w:rPr>
        <w:t>doi:10.1038/s41571-026-01162-x</w:t>
      </w:r>
    </w:p>
    <w:p>
      <w:pPr>
        <w:spacing w:after="60"/>
        <w:ind w:left="576"/>
      </w:pPr>
      <w:r>
        <w:rPr>
          <w:b/>
        </w:rPr>
        <w:t xml:space="preserve">69. </w:t>
      </w:r>
      <w:r>
        <w:t xml:space="preserve">Neese, F. Software update: The ORCA program system—Version 5.0. WIREs Computational Molecular Science 2022, 12 (5). </w:t>
      </w:r>
      <w:r>
        <w:rPr>
          <w:i/>
          <w:color w:val="00695C"/>
          <w:sz w:val="18"/>
        </w:rPr>
        <w:t>doi:10.1002/wcms.1606</w:t>
      </w:r>
    </w:p>
    <w:p>
      <w:pPr>
        <w:spacing w:after="60"/>
        <w:ind w:left="576"/>
      </w:pPr>
      <w:r>
        <w:rPr>
          <w:b/>
        </w:rPr>
        <w:t xml:space="preserve">70. </w:t>
      </w:r>
      <w:r>
        <w:t xml:space="preserve">Becke, A. D. Density-functional thermochemistry. III. The role of exact exchange. The Journal of Chemical Physics 1993, 98 (7), 5648-5652. </w:t>
      </w:r>
      <w:r>
        <w:rPr>
          <w:i/>
          <w:color w:val="00695C"/>
          <w:sz w:val="18"/>
        </w:rPr>
        <w:t>doi:10.1063/1.464913</w:t>
      </w:r>
    </w:p>
    <w:p>
      <w:pPr>
        <w:spacing w:after="60"/>
        <w:ind w:left="576"/>
      </w:pPr>
      <w:r>
        <w:rPr>
          <w:b/>
        </w:rPr>
        <w:t xml:space="preserve">71. </w:t>
      </w:r>
      <w:r>
        <w:t xml:space="preserve">Grimme, S.; Ehrlich, S.; Goerigk, L. Effect of the damping function in dispersion corrected density functional theory. Journal of Computational Chemistry 2011, 32 (7), 1456-1465. </w:t>
      </w:r>
      <w:r>
        <w:rPr>
          <w:i/>
          <w:color w:val="00695C"/>
          <w:sz w:val="18"/>
        </w:rPr>
        <w:t>doi:10.1002/jcc.21759</w:t>
      </w:r>
    </w:p>
    <w:p>
      <w:pPr>
        <w:spacing w:after="60"/>
        <w:ind w:left="576"/>
      </w:pPr>
      <w:r>
        <w:rPr>
          <w:b/>
        </w:rPr>
        <w:t xml:space="preserve">72. </w:t>
      </w:r>
      <w:r>
        <w:t xml:space="preserve">Weigend, F.; Ahlrichs, R. Balanced basis sets of split valence, triple zeta valence and quadruple zeta valence quality for H to Rn: Design and assessment of accuracy. Physical Chemistry Chemical Physics 2005, 7 (18), 3297. </w:t>
      </w:r>
      <w:r>
        <w:rPr>
          <w:i/>
          <w:color w:val="00695C"/>
          <w:sz w:val="18"/>
        </w:rPr>
        <w:t>doi:10.1039/b508541a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