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+0.082 e)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t>Direct pharmacological inhibition of oncogenic KRAS-G12D represents a paramount objective in precision oncology, particularly for pancreatic ductal adenocarcinoma (PDAC). While recent non-covalent inhibitors such as MRTX1133 engage the Switch II allosteric cleft with high potency, unfavorable pharmacokinetic properties motivate alternative supramolecular delivery and loading strategies. Here, we report an integrated computational chemistry, cheminformatics, and molecular screening framework that evaluates the molecular interaction space of KRAS-G12D therapeutics across 2D graphitic carbon nitride (g-C3N4) interaction templates. High-resolution crystallographic validation on human KRAS-G12D (PDB ID: 7RPZ, 1.30 Å) reproduced the native MRTX1133 binding pose with 1.419 Å heavy-atom Root-Mean-Square Deviation (RMSD), providing pose-recovery validation of the docking protocol. Across a curated cohort of N=33 diverse oncology therapeutics, Switch II pocket docking revealed descriptive differences consistent with state- and mechanism-dependent structural pharmacology (Group A median -7.68 kcal/mol; Group B median -5.86 kcal/mol; Group C median -7.82 kcal/mol; Group D median -6.84 kcal/mol; omnibus Kruskal-Wallis H = 5.763, p = 0.1237). Standardized GFN2-xTB tight-binding quantum calculations across the finite 48-atom C21N21H6 planar cluster model yielded favorable intermolecular electronic interaction energies (Delta_E_int,std = -4.98 to -39.17 kcal/mol on pristine and -6.96 to -39.89 kcal/mol on B/P substituted templates at standardized z = 3.35 Å), governed by pi-pi stacking and localized interfacial charge transfer. Importantly, we show that Delta_E_int,std represents a standardized vertical electronic interaction descriptor, which is offset by intramolecular conformational deformation (Delta_E_def = +34.65 kcal/mol for MRTX1133), yielding a net relaxed adsorption energy Delta_E_ads,rel ≈ -0.38 kcal/mol. A multi-level quantum benchmark against dispersion-corrected DFT single-point reference calculations (ORCA 6.1.1, B3LYP-D3BJ/def2-SVP, TightSCF) across eight representative oncology drugs demonstrated strong rank preservation (Spearman rho = 0.96, p = 0.0001; MAE = 2.14 kcal/mol, RMSE = 2.68 kcal/mol; counterpoise/def2-TZVP convergence confirmed). A regularized Ridge surrogate QSPR model structured under OECD Principles 1-5, evaluated by a fully leak-free nested 5x5 cross-validation (StandardScaler fit inside the pipeline on outer-training folds only; Ridge alpha tuned by inner cross-validation), achieved robust out-of-fold predictive accuracy (nested Q²_CV = +0.584, per-fold Q² range: 0.05-0.78; RMSE = 5.11 kcal/mol, MAE = 4.33 kcal/mol), with Y-scrambling permutation testing supporting that predictive performance was unlikely to arise from chance correlation (1,000 permutations: mean Q²_scrambled = -0.12, empirical p = 0.001). Decoupled virtual screening of 350 DrugBank oncology candidates within the applicability domain (h* = 0.455) prioritized clinical-stage leads whose interaction stability was evaluated via prospective GFN2-xTB quantum confirmation (MAE = 3.82 kcal/mol, RMSE = 5.16 kcal/mol; Futibatinib: error +0.37 kcal/mol; Belumosudil: error +1.93 kcal/mol; Pimicotinib: error +1.11 kcal/mol; Avapritinib: -6.27 kcal/mol; Capivasertib: +9.42 kcal/mol), yielding favorable predicted Switch II pocket compatibility (-7.64 to -9.43 kcal/mol; Ligand Efficiency 0.255 to 0.292 kcal/mol/atom). This study establishes a rigorous computational cheminformatics and quantum chemical foundation for exploring molecular diversity in mutant KRAS drug discovery.</w:t>
      </w:r>
    </w:p>
    <w:p>
      <w:pPr>
        <w:spacing w:after="240"/>
      </w:pPr>
      <w:r>
        <w:rPr>
          <w:b/>
        </w:rPr>
        <w:t xml:space="preserve">Keywords: </w:t>
      </w:r>
      <w:r>
        <w:t>KRAS-G12D; MRTX1133; Molecular Diversity; QSPR Surrogate Modeling; GFN2-xTB Quantum Chemistry; DFT Benchmark; Virtual Screening; Supramolecular Interaction.</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benchmark against dispersion-corrected DFT reference calculations [69-72],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crystallographic coordinates (PDB ID: 7RPZ, 1.30 Å resolution)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Kollman united-atom partial charges were assigned to the protein receptor during PDBQT conversion, while initial polar hydrogen placement and residue protonation followed AMBER ff14SB standard topology definitions.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Individual dominant protonation states, tautomers, and formal charges at physiological pH 7.4 were assigned specifically for each compound using ChemAxon Calculator Plugin (cxcalc pKa, version 23.18.0, MarvinBeans suite, macro- and micro-pKa mode with temperature T = 298.15 K, ionic strength I = 0.15 M, and physiological pH window 7.40 +/- 0.20) and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protonation states, formal charges, and SMILES mapping). Descriptors were calculated using RDKit [32].</w:t>
      </w:r>
    </w:p>
    <w:p>
      <w:r>
        <w:t>2.3 Standardized Quantum Interaction Modeling: GFN2-xTB Hamiltonian &amp; Multilevel Benchmarking: The 2D graphitic carbon nitride molecular interaction template was modeled as a finite planar cluster consisting of 48 atoms with stoichiometry C21N21H6 composed of three condensed tri-s-triazine (heptazine) cores with peripheral hydrogen edge passivation [11, 26, 27]. While ideal infinite g-C3N4 exhibits a bulk N/C = 1.33 stoichiometry, finite molecular cluster models feature hydrogen-passivated peripheral carbon and nitrogen sites (yielding N/C = 1.0) to avoid unphysical radical edge states while preserving the central sp2 conjugated heptazine electronic framework (see SI Section S1 for complete 48-atom XYZ coordinates and Mulliken charge distribution) [20, 26, 27]. Heteroatom-substituted configurations were constructed by substitution: boron replacing carbon (C20B1N21H6, 2.1 at.% B), phosphorus replacing nitrogen (C21N20P1H6, 2.1 at.% P), and B/P co-substituted configurations (C20B1N20P1H6). Calculations were carried out using the second-generation Geometry, Frequency, Noncovalent, Extended Tight-Binding Hamiltonian (GFN2-xTB) developed by Bannwarth, Ehlert, and Grimme [21]. GFN2-xTB incorporates anisotropic multi-pole electrostatics, second-order density matrix self-consistency, and D4 atom-in-molecule coordination-dependent dispersion [21, 23]. Supramolecular drug-template complexes were constructed by positioning each drug molecule at a standardized unrelaxed vertical interplanar stacking distance (z = 3.35 Å) parallel to the planar framework. The standardized electronic interaction energy (Delta_E_int,std) was evaluated rigidly across all compounds as: Delta_E_int,std = E_complex - (E_template + E_drug,complex). This standardized fixed-distance protocol isolates the pure intermolecular electronic interaction without confounding intramolecular conformational strain penalties. In illustrative fully relaxed geometry optimizations of planar aromatic systems, complexes relax to an equilibrium interplanar separation of d_pi-pi ≈ 3.25 Å. To validate the semiempirical interaction trends, higher-level dispersion-corrected DFT single-point reference calculations were performed using ORCA 6.1.1 [69] with the B3LYP functional [70], Grimme's D3 dispersion correction with Becke-Johnson damping (D3BJ) [71], and the def2-SVP basis set [72] with RIJCOSX acceleration and TightSCF convergence criteria on the exact same standardized geometries: Delta_E_int,std_DFT = E_complex_DFT - E_sheet_DFT - E_drug,complex_DFT. Basis set convergence and basis set superposition error (BSSE) were evaluated across representative systems using the triple-zeta def2-TZVP basis set and Boys–Bernardi counterpoise correction, confirming that BSSE shifts interaction energies systematically (~1.8 kcal/mol) without altering the relative ranking (rho = 0.96 to 0.98; see Table S5). In addition, the first-generation GFN1-xTB Hamiltonian [22] was evaluated as a semiempirical baseline reference.</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24208"/>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4208"/>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3D structural superposition of crystallographic (emerald green sticks) and top-ranked redocked (ruby orange sticks) MRTX1133 poses inside the Switch II allosteric pocket of KRAS-G12D (PDB ID: 7RPZ, 1.30 Å resolution), demonstrating 1.419 Å heavy-atom RMSD pose recovery (-9.16 kcal/mol, PDB chemical component ID: 6IC); (b) Conformational binding energy landscape across sampled docking modes 1–9 presented as a precision 2D lollipop plot, highlighting the top-ranked ground-state pose (-9.16 kcal/mol) and the tight distribution of negative binding scores.</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448779"/>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448779"/>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Standardized Quantum Drug–Carrier Interaction Energetics and Multilevel Benchmarking</w:t>
      </w:r>
    </w:p>
    <w:p>
      <w:r>
        <w:t>Tight-binding quantum chemistry calculations using the GFN2-xTB Hamiltonian [21] revealed that all 33 oncology therapeutics and 5 screening leads undergo energetically favorable electronic interactions on the 2D g-C3N4 matrix. Standardized electronic interaction energies (Delta_E_int,std) on pristine g-C3N4 evaluated rigidly at z = 3.35 Å ranged from -4.98 kcal/mol (5-Fluorouracil) to -39.17 kcal/mol (Methotrexate), with MRTX1133 exhibiting robust interaction (Delta_E_int,std = -35.03 kcal/mol; Delta_Q = +0.189 e). Interaction stability was primarily governed by aromatic pi-pi stacking and non-covalent dispersion interactions across the planar heptazine framework. Co-doping the carbon nitride framework with boron and phosphorus atoms (B/P-g-C3N4, C20B1N20P1H6) induced localized charge polarization (q_B = +0.3494 e, q_P = -0.1679 e), primarily modifying interfacial polarization while producing modest, compound-dependent changes in interaction energy (Delta_E_int,std = -6.96 to -39.89 kcal/mol; for MRTX1133: pristine -35.03 kcal/mol vs B/P-doped -35.04 kcal/mol, DeltaDelta E_int,std = -0.01 kcal/mol). These results indicate that B/P co-doping primarily redistributes interfacial charge density (Delta_Q = +0.082 e for MRTX1133) rather than producing large energetic gains.</w:t>
      </w:r>
    </w:p>
    <w:p>
      <w:r>
        <w:t>To rigorously evaluate the sensitivity of interfacial interaction to initial spatial placement, a multi-start geometric protocol was conducted for representative therapeutics (5-Fluorouracil, Gemcitabine, MRTX1133) across three distinct orientations (0 deg parallel, +90 deg in-plane rotation, 180 deg inverted flip) under the identical quantum baseline. For MRTX1133, the standardized rigid protocol yields a vertical electronic interaction energy of Delta_E_int,std = -35.03 kcal/mol (E_complex = -234.173301 Eh, E_sheet = -107.765351 Eh, E_drug,complex = -126.352121 Eh) at fixed parallel stacking (z = 3.35 Å). When evaluated relative to the fully relaxed isolated drug in vacuum (E_drug,opt = -126.407348 Eh), an intramolecular conformational deformation penalty of Delta_E_def = +34.65 kcal/mol (+0.055227 Eh) is incurred, resulting in a net relative adsorption energy Delta_E_ads,rel = -0.38 kcal/mol across initial multi-start geometries (-0.38 to -4.99 kcal/mol; see Table S4 for complete raw component breakdown). This demonstrates that isolating the standardized vertical electronic interaction energy (Delta_E_int,std) removes confounding intramolecular strain penalties and provides a chemically homogeneous electronic target for QSPR surrogate modeling, without directly conflating it with bulk solution adsorption free energy (Delta_G_ads).</w:t>
      </w:r>
    </w:p>
    <w:p>
      <w:r>
        <w:t>To assess the accuracy and Hamiltonian sensitivity of the calculated electronic interaction energies, multi-level quantum benchmarks were performed against both GFN1-xTB and dispersion-corrected DFT single-point reference calculations (ORCA 6.1.1, B3LYP-D3BJ / def2-SVP, TightSCF; Table 2, Table S5, Figure 3) [69-72]. Comparison with DFT reference calculations across eight representative systems (5-FU, Gemcitabine, Erlotinib, Selumetinib, MRTX1719, Futibatinib, MRTX1133, Methotrexate) demonstrated strong rank preservation (Figure 3a,c; Spearman rank correlation rho = 0.96, p = 0.0001) and low mean absolute error (MAE = 2.14 kcal/mol, RMSE = 2.68 kcal/mol), confirming that GFN2-xTB reliably reproduces the relative electronic interaction trends of higher-level dispersion-corrected DFT. Furthermore, evaluation of basis-set convergence with def2-TZVP and Boys–Bernardi counterpoise correction across representative compounds confirmed that BSSE introduces a uniform systematic offset (~1.8 kcal/mol) without disrupting relative rank ordering (rho = 0.96 to 0.98; Table S5). In contrast, comparison between GFN2-xTB [21] and GFN1-xTB [22] revealed a systematic semiempirical offset (Table 2, Figure 3d; MSE = -12.82 kcal/mol, MAE = 12.82 kcal/mol, RMSE = 17.34 kcal/mol; R² = 0.254), reflecting multi-term Hamiltonian updates including second-order density matrix self-consistency, anisotropic multi-pole electrostatics, and coordination-dependent D4 dispersion.</w:t>
      </w:r>
    </w:p>
    <w:p/>
    <w:p>
      <w:r>
        <w:rPr>
          <w:b/>
          <w:sz w:val="20"/>
        </w:rPr>
        <w:t>Table 2: 10-System Hamiltonian Sensitivity Analysis: GFN2-xTB vs GFN1-xTB on 2D g-C3N4 Standardized Drug–Carrier Interaction Energies (Delta_E_int,std) Across Diverse Chemical Classes.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Compound</w:t>
            </w:r>
          </w:p>
        </w:tc>
        <w:tc>
          <w:tcPr>
            <w:tcW w:type="dxa" w:w="1560"/>
            <w:shd w:fill="004D40"/>
            <w:tcMar>
              <w:top w:w="50" w:type="dxa"/>
              <w:bottom w:w="50" w:type="dxa"/>
              <w:left w:w="70" w:type="dxa"/>
              <w:right w:w="70" w:type="dxa"/>
            </w:tcMar>
          </w:tcPr>
          <w:p>
            <w:r>
              <w:rPr>
                <w:b/>
                <w:color w:val="FFFFFF"/>
                <w:sz w:val="17"/>
              </w:rPr>
              <w:t>Structural Class</w:t>
            </w:r>
          </w:p>
        </w:tc>
        <w:tc>
          <w:tcPr>
            <w:tcW w:type="dxa" w:w="1560"/>
            <w:shd w:fill="004D40"/>
            <w:tcMar>
              <w:top w:w="50" w:type="dxa"/>
              <w:bottom w:w="50" w:type="dxa"/>
              <w:left w:w="70" w:type="dxa"/>
              <w:right w:w="70" w:type="dxa"/>
            </w:tcMar>
          </w:tcPr>
          <w:p>
            <w:r>
              <w:rPr>
                <w:b/>
                <w:color w:val="FFFFFF"/>
                <w:sz w:val="17"/>
              </w:rPr>
              <w:t>MW (g/mol)</w:t>
            </w:r>
          </w:p>
        </w:tc>
        <w:tc>
          <w:tcPr>
            <w:tcW w:type="dxa" w:w="1560"/>
            <w:shd w:fill="004D40"/>
            <w:tcMar>
              <w:top w:w="50" w:type="dxa"/>
              <w:bottom w:w="50" w:type="dxa"/>
              <w:left w:w="70" w:type="dxa"/>
              <w:right w:w="70" w:type="dxa"/>
            </w:tcMar>
          </w:tcPr>
          <w:p>
            <w:r>
              <w:rPr>
                <w:b/>
                <w:color w:val="FFFFFF"/>
                <w:sz w:val="17"/>
              </w:rPr>
              <w:t>Delta_E_int,std GFN2 (kcal/mol)</w:t>
            </w:r>
          </w:p>
        </w:tc>
        <w:tc>
          <w:tcPr>
            <w:tcW w:type="dxa" w:w="1560"/>
            <w:shd w:fill="004D40"/>
            <w:tcMar>
              <w:top w:w="50" w:type="dxa"/>
              <w:bottom w:w="50" w:type="dxa"/>
              <w:left w:w="70" w:type="dxa"/>
              <w:right w:w="70" w:type="dxa"/>
            </w:tcMar>
          </w:tcPr>
          <w:p>
            <w:r>
              <w:rPr>
                <w:b/>
                <w:color w:val="FFFFFF"/>
                <w:sz w:val="17"/>
              </w:rPr>
              <w:t>Delta_E_int,std GFN1 (kcal/mol)</w:t>
            </w:r>
          </w:p>
        </w:tc>
        <w:tc>
          <w:tcPr>
            <w:tcW w:type="dxa" w:w="1560"/>
            <w:shd w:fill="004D40"/>
            <w:tcMar>
              <w:top w:w="50" w:type="dxa"/>
              <w:bottom w:w="50" w:type="dxa"/>
              <w:left w:w="70" w:type="dxa"/>
              <w:right w:w="70" w:type="dxa"/>
            </w:tcMar>
          </w:tcPr>
          <w:p>
            <w:r>
              <w:rPr>
                <w:b/>
                <w:color w:val="FFFFFF"/>
                <w:sz w:val="17"/>
              </w:rPr>
              <w:t>|Delta| (kcal/mol)</w:t>
            </w:r>
          </w:p>
        </w:tc>
      </w:tr>
      <w:tr>
        <w:tc>
          <w:tcPr>
            <w:tcW w:type="dxa" w:w="1560"/>
            <w:tcMar>
              <w:top w:w="35" w:type="dxa"/>
              <w:bottom w:w="35" w:type="dxa"/>
              <w:left w:w="50" w:type="dxa"/>
              <w:right w:w="50" w:type="dxa"/>
            </w:tcMar>
          </w:tcPr>
          <w:p>
            <w:r>
              <w:rPr>
                <w:sz w:val="16"/>
              </w:rPr>
              <w:t>5-Fluorouracil</w:t>
            </w:r>
          </w:p>
        </w:tc>
        <w:tc>
          <w:tcPr>
            <w:tcW w:type="dxa" w:w="1560"/>
            <w:tcMar>
              <w:top w:w="35" w:type="dxa"/>
              <w:bottom w:w="35" w:type="dxa"/>
              <w:left w:w="50" w:type="dxa"/>
              <w:right w:w="50" w:type="dxa"/>
            </w:tcMar>
          </w:tcPr>
          <w:p>
            <w:r>
              <w:rPr>
                <w:sz w:val="16"/>
              </w:rPr>
              <w:t>Weak / Monocyclic / Fluorinated</w:t>
            </w:r>
          </w:p>
        </w:tc>
        <w:tc>
          <w:tcPr>
            <w:tcW w:type="dxa" w:w="1560"/>
            <w:tcMar>
              <w:top w:w="35" w:type="dxa"/>
              <w:bottom w:w="35" w:type="dxa"/>
              <w:left w:w="50" w:type="dxa"/>
              <w:right w:w="50" w:type="dxa"/>
            </w:tcMar>
          </w:tcPr>
          <w:p>
            <w:r>
              <w:rPr>
                <w:sz w:val="16"/>
              </w:rPr>
              <w:t>130.1</w:t>
            </w:r>
          </w:p>
        </w:tc>
        <w:tc>
          <w:tcPr>
            <w:tcW w:type="dxa" w:w="1560"/>
            <w:tcMar>
              <w:top w:w="35" w:type="dxa"/>
              <w:bottom w:w="35" w:type="dxa"/>
              <w:left w:w="50" w:type="dxa"/>
              <w:right w:w="50" w:type="dxa"/>
            </w:tcMar>
          </w:tcPr>
          <w:p>
            <w:r>
              <w:rPr>
                <w:sz w:val="16"/>
              </w:rPr>
              <w:t>-4.98</w:t>
            </w:r>
          </w:p>
        </w:tc>
        <w:tc>
          <w:tcPr>
            <w:tcW w:type="dxa" w:w="1560"/>
            <w:tcMar>
              <w:top w:w="35" w:type="dxa"/>
              <w:bottom w:w="35" w:type="dxa"/>
              <w:left w:w="50" w:type="dxa"/>
              <w:right w:w="50" w:type="dxa"/>
            </w:tcMar>
          </w:tcPr>
          <w:p>
            <w:r>
              <w:rPr>
                <w:sz w:val="16"/>
              </w:rPr>
              <w:t>-4.53</w:t>
            </w:r>
          </w:p>
        </w:tc>
        <w:tc>
          <w:tcPr>
            <w:tcW w:type="dxa" w:w="1560"/>
            <w:tcMar>
              <w:top w:w="35" w:type="dxa"/>
              <w:bottom w:w="35" w:type="dxa"/>
              <w:left w:w="50" w:type="dxa"/>
              <w:right w:w="50" w:type="dxa"/>
            </w:tcMar>
          </w:tcPr>
          <w:p>
            <w:r>
              <w:rPr>
                <w:sz w:val="16"/>
              </w:rPr>
              <w:t>0.45</w:t>
            </w:r>
          </w:p>
        </w:tc>
      </w:tr>
      <w:tr>
        <w:tc>
          <w:tcPr>
            <w:tcW w:type="dxa" w:w="1560"/>
            <w:tcMar>
              <w:top w:w="35" w:type="dxa"/>
              <w:bottom w:w="35" w:type="dxa"/>
              <w:left w:w="50" w:type="dxa"/>
              <w:right w:w="50" w:type="dxa"/>
            </w:tcMar>
          </w:tcPr>
          <w:p>
            <w:r>
              <w:rPr>
                <w:sz w:val="16"/>
              </w:rPr>
              <w:t>Hydroxyurea</w:t>
            </w:r>
          </w:p>
        </w:tc>
        <w:tc>
          <w:tcPr>
            <w:tcW w:type="dxa" w:w="1560"/>
            <w:tcMar>
              <w:top w:w="35" w:type="dxa"/>
              <w:bottom w:w="35" w:type="dxa"/>
              <w:left w:w="50" w:type="dxa"/>
              <w:right w:w="50" w:type="dxa"/>
            </w:tcMar>
          </w:tcPr>
          <w:p>
            <w:r>
              <w:rPr>
                <w:sz w:val="16"/>
              </w:rPr>
              <w:t>Weak / Small fragment</w:t>
            </w:r>
          </w:p>
        </w:tc>
        <w:tc>
          <w:tcPr>
            <w:tcW w:type="dxa" w:w="1560"/>
            <w:tcMar>
              <w:top w:w="35" w:type="dxa"/>
              <w:bottom w:w="35" w:type="dxa"/>
              <w:left w:w="50" w:type="dxa"/>
              <w:right w:w="50" w:type="dxa"/>
            </w:tcMar>
          </w:tcPr>
          <w:p>
            <w:r>
              <w:rPr>
                <w:sz w:val="16"/>
              </w:rPr>
              <w:t>76.0</w:t>
            </w:r>
          </w:p>
        </w:tc>
        <w:tc>
          <w:tcPr>
            <w:tcW w:type="dxa" w:w="1560"/>
            <w:tcMar>
              <w:top w:w="35" w:type="dxa"/>
              <w:bottom w:w="35" w:type="dxa"/>
              <w:left w:w="50" w:type="dxa"/>
              <w:right w:w="50" w:type="dxa"/>
            </w:tcMar>
          </w:tcPr>
          <w:p>
            <w:r>
              <w:rPr>
                <w:sz w:val="16"/>
              </w:rPr>
              <w:t>-7.51</w:t>
            </w:r>
          </w:p>
        </w:tc>
        <w:tc>
          <w:tcPr>
            <w:tcW w:type="dxa" w:w="1560"/>
            <w:tcMar>
              <w:top w:w="35" w:type="dxa"/>
              <w:bottom w:w="35" w:type="dxa"/>
              <w:left w:w="50" w:type="dxa"/>
              <w:right w:w="50" w:type="dxa"/>
            </w:tcMar>
          </w:tcPr>
          <w:p>
            <w:r>
              <w:rPr>
                <w:sz w:val="16"/>
              </w:rPr>
              <w:t>-4.88</w:t>
            </w:r>
          </w:p>
        </w:tc>
        <w:tc>
          <w:tcPr>
            <w:tcW w:type="dxa" w:w="1560"/>
            <w:tcMar>
              <w:top w:w="35" w:type="dxa"/>
              <w:bottom w:w="35" w:type="dxa"/>
              <w:left w:w="50" w:type="dxa"/>
              <w:right w:w="50" w:type="dxa"/>
            </w:tcMar>
          </w:tcPr>
          <w:p>
            <w:r>
              <w:rPr>
                <w:sz w:val="16"/>
              </w:rPr>
              <w:t>2.63</w:t>
            </w:r>
          </w:p>
        </w:tc>
      </w:tr>
      <w:tr>
        <w:tc>
          <w:tcPr>
            <w:tcW w:type="dxa" w:w="1560"/>
            <w:tcMar>
              <w:top w:w="35" w:type="dxa"/>
              <w:bottom w:w="35" w:type="dxa"/>
              <w:left w:w="50" w:type="dxa"/>
              <w:right w:w="50" w:type="dxa"/>
            </w:tcMar>
          </w:tcPr>
          <w:p>
            <w:r>
              <w:rPr>
                <w:sz w:val="16"/>
              </w:rPr>
              <w:t>Gemcitabine</w:t>
            </w:r>
          </w:p>
        </w:tc>
        <w:tc>
          <w:tcPr>
            <w:tcW w:type="dxa" w:w="1560"/>
            <w:tcMar>
              <w:top w:w="35" w:type="dxa"/>
              <w:bottom w:w="35" w:type="dxa"/>
              <w:left w:w="50" w:type="dxa"/>
              <w:right w:w="50" w:type="dxa"/>
            </w:tcMar>
          </w:tcPr>
          <w:p>
            <w:r>
              <w:rPr>
                <w:sz w:val="16"/>
              </w:rPr>
              <w:t>Weak-Medium / Nucleoside / Difluorinated</w:t>
            </w:r>
          </w:p>
        </w:tc>
        <w:tc>
          <w:tcPr>
            <w:tcW w:type="dxa" w:w="1560"/>
            <w:tcMar>
              <w:top w:w="35" w:type="dxa"/>
              <w:bottom w:w="35" w:type="dxa"/>
              <w:left w:w="50" w:type="dxa"/>
              <w:right w:w="50" w:type="dxa"/>
            </w:tcMar>
          </w:tcPr>
          <w:p>
            <w:r>
              <w:rPr>
                <w:sz w:val="16"/>
              </w:rPr>
              <w:t>263.2</w:t>
            </w:r>
          </w:p>
        </w:tc>
        <w:tc>
          <w:tcPr>
            <w:tcW w:type="dxa" w:w="1560"/>
            <w:tcMar>
              <w:top w:w="35" w:type="dxa"/>
              <w:bottom w:w="35" w:type="dxa"/>
              <w:left w:w="50" w:type="dxa"/>
              <w:right w:w="50" w:type="dxa"/>
            </w:tcMar>
          </w:tcPr>
          <w:p>
            <w:r>
              <w:rPr>
                <w:sz w:val="16"/>
              </w:rPr>
              <w:t>-12.23</w:t>
            </w:r>
          </w:p>
        </w:tc>
        <w:tc>
          <w:tcPr>
            <w:tcW w:type="dxa" w:w="1560"/>
            <w:tcMar>
              <w:top w:w="35" w:type="dxa"/>
              <w:bottom w:w="35" w:type="dxa"/>
              <w:left w:w="50" w:type="dxa"/>
              <w:right w:w="50" w:type="dxa"/>
            </w:tcMar>
          </w:tcPr>
          <w:p>
            <w:r>
              <w:rPr>
                <w:sz w:val="16"/>
              </w:rPr>
              <w:t>-4.31</w:t>
            </w:r>
          </w:p>
        </w:tc>
        <w:tc>
          <w:tcPr>
            <w:tcW w:type="dxa" w:w="1560"/>
            <w:tcMar>
              <w:top w:w="35" w:type="dxa"/>
              <w:bottom w:w="35" w:type="dxa"/>
              <w:left w:w="50" w:type="dxa"/>
              <w:right w:w="50" w:type="dxa"/>
            </w:tcMar>
          </w:tcPr>
          <w:p>
            <w:r>
              <w:rPr>
                <w:sz w:val="16"/>
              </w:rPr>
              <w:t>7.92</w:t>
            </w:r>
          </w:p>
        </w:tc>
      </w:tr>
      <w:tr>
        <w:tc>
          <w:tcPr>
            <w:tcW w:type="dxa" w:w="1560"/>
            <w:tcMar>
              <w:top w:w="35" w:type="dxa"/>
              <w:bottom w:w="35" w:type="dxa"/>
              <w:left w:w="50" w:type="dxa"/>
              <w:right w:w="50" w:type="dxa"/>
            </w:tcMar>
          </w:tcPr>
          <w:p>
            <w:r>
              <w:rPr>
                <w:sz w:val="16"/>
              </w:rPr>
              <w:t>Binimetinib</w:t>
            </w:r>
          </w:p>
        </w:tc>
        <w:tc>
          <w:tcPr>
            <w:tcW w:type="dxa" w:w="1560"/>
            <w:tcMar>
              <w:top w:w="35" w:type="dxa"/>
              <w:bottom w:w="35" w:type="dxa"/>
              <w:left w:w="50" w:type="dxa"/>
              <w:right w:w="50" w:type="dxa"/>
            </w:tcMar>
          </w:tcPr>
          <w:p>
            <w:r>
              <w:rPr>
                <w:sz w:val="16"/>
              </w:rPr>
              <w:t>Intermediate / Kinase inhibitor / Fluorinated</w:t>
            </w:r>
          </w:p>
        </w:tc>
        <w:tc>
          <w:tcPr>
            <w:tcW w:type="dxa" w:w="1560"/>
            <w:tcMar>
              <w:top w:w="35" w:type="dxa"/>
              <w:bottom w:w="35" w:type="dxa"/>
              <w:left w:w="50" w:type="dxa"/>
              <w:right w:w="50" w:type="dxa"/>
            </w:tcMar>
          </w:tcPr>
          <w:p>
            <w:r>
              <w:rPr>
                <w:sz w:val="16"/>
              </w:rPr>
              <w:t>441.2</w:t>
            </w:r>
          </w:p>
        </w:tc>
        <w:tc>
          <w:tcPr>
            <w:tcW w:type="dxa" w:w="1560"/>
            <w:tcMar>
              <w:top w:w="35" w:type="dxa"/>
              <w:bottom w:w="35" w:type="dxa"/>
              <w:left w:w="50" w:type="dxa"/>
              <w:right w:w="50" w:type="dxa"/>
            </w:tcMar>
          </w:tcPr>
          <w:p>
            <w:r>
              <w:rPr>
                <w:sz w:val="16"/>
              </w:rPr>
              <w:t>-9.42</w:t>
            </w:r>
          </w:p>
        </w:tc>
        <w:tc>
          <w:tcPr>
            <w:tcW w:type="dxa" w:w="1560"/>
            <w:tcMar>
              <w:top w:w="35" w:type="dxa"/>
              <w:bottom w:w="35" w:type="dxa"/>
              <w:left w:w="50" w:type="dxa"/>
              <w:right w:w="50" w:type="dxa"/>
            </w:tcMar>
          </w:tcPr>
          <w:p>
            <w:r>
              <w:rPr>
                <w:sz w:val="16"/>
              </w:rPr>
              <w:t>-3.41</w:t>
            </w:r>
          </w:p>
        </w:tc>
        <w:tc>
          <w:tcPr>
            <w:tcW w:type="dxa" w:w="1560"/>
            <w:tcMar>
              <w:top w:w="35" w:type="dxa"/>
              <w:bottom w:w="35" w:type="dxa"/>
              <w:left w:w="50" w:type="dxa"/>
              <w:right w:w="50" w:type="dxa"/>
            </w:tcMar>
          </w:tcPr>
          <w:p>
            <w:r>
              <w:rPr>
                <w:sz w:val="16"/>
              </w:rPr>
              <w:t>6.01</w:t>
            </w:r>
          </w:p>
        </w:tc>
      </w:tr>
      <w:tr>
        <w:tc>
          <w:tcPr>
            <w:tcW w:type="dxa" w:w="1560"/>
            <w:tcMar>
              <w:top w:w="35" w:type="dxa"/>
              <w:bottom w:w="35" w:type="dxa"/>
              <w:left w:w="50" w:type="dxa"/>
              <w:right w:w="50" w:type="dxa"/>
            </w:tcMar>
          </w:tcPr>
          <w:p>
            <w:r>
              <w:rPr>
                <w:sz w:val="16"/>
              </w:rPr>
              <w:t>Selumetinib</w:t>
            </w:r>
          </w:p>
        </w:tc>
        <w:tc>
          <w:tcPr>
            <w:tcW w:type="dxa" w:w="1560"/>
            <w:tcMar>
              <w:top w:w="35" w:type="dxa"/>
              <w:bottom w:w="35" w:type="dxa"/>
              <w:left w:w="50" w:type="dxa"/>
              <w:right w:w="50" w:type="dxa"/>
            </w:tcMar>
          </w:tcPr>
          <w:p>
            <w:r>
              <w:rPr>
                <w:sz w:val="16"/>
              </w:rPr>
              <w:t>Intermediate / Halogenated (Cl, F)</w:t>
            </w:r>
          </w:p>
        </w:tc>
        <w:tc>
          <w:tcPr>
            <w:tcW w:type="dxa" w:w="1560"/>
            <w:tcMar>
              <w:top w:w="35" w:type="dxa"/>
              <w:bottom w:w="35" w:type="dxa"/>
              <w:left w:w="50" w:type="dxa"/>
              <w:right w:w="50" w:type="dxa"/>
            </w:tcMar>
          </w:tcPr>
          <w:p>
            <w:r>
              <w:rPr>
                <w:sz w:val="16"/>
              </w:rPr>
              <w:t>457.7</w:t>
            </w:r>
          </w:p>
        </w:tc>
        <w:tc>
          <w:tcPr>
            <w:tcW w:type="dxa" w:w="1560"/>
            <w:tcMar>
              <w:top w:w="35" w:type="dxa"/>
              <w:bottom w:w="35" w:type="dxa"/>
              <w:left w:w="50" w:type="dxa"/>
              <w:right w:w="50" w:type="dxa"/>
            </w:tcMar>
          </w:tcPr>
          <w:p>
            <w:r>
              <w:rPr>
                <w:sz w:val="16"/>
              </w:rPr>
              <w:t>-10.53</w:t>
            </w:r>
          </w:p>
        </w:tc>
        <w:tc>
          <w:tcPr>
            <w:tcW w:type="dxa" w:w="1560"/>
            <w:tcMar>
              <w:top w:w="35" w:type="dxa"/>
              <w:bottom w:w="35" w:type="dxa"/>
              <w:left w:w="50" w:type="dxa"/>
              <w:right w:w="50" w:type="dxa"/>
            </w:tcMar>
          </w:tcPr>
          <w:p>
            <w:r>
              <w:rPr>
                <w:sz w:val="16"/>
              </w:rPr>
              <w:t>-4.17</w:t>
            </w:r>
          </w:p>
        </w:tc>
        <w:tc>
          <w:tcPr>
            <w:tcW w:type="dxa" w:w="1560"/>
            <w:tcMar>
              <w:top w:w="35" w:type="dxa"/>
              <w:bottom w:w="35" w:type="dxa"/>
              <w:left w:w="50" w:type="dxa"/>
              <w:right w:w="50" w:type="dxa"/>
            </w:tcMar>
          </w:tcPr>
          <w:p>
            <w:r>
              <w:rPr>
                <w:sz w:val="16"/>
              </w:rPr>
              <w:t>6.36</w:t>
            </w:r>
          </w:p>
        </w:tc>
      </w:tr>
      <w:tr>
        <w:tc>
          <w:tcPr>
            <w:tcW w:type="dxa" w:w="1560"/>
            <w:tcMar>
              <w:top w:w="35" w:type="dxa"/>
              <w:bottom w:w="35" w:type="dxa"/>
              <w:left w:w="50" w:type="dxa"/>
              <w:right w:w="50" w:type="dxa"/>
            </w:tcMar>
          </w:tcPr>
          <w:p>
            <w:r>
              <w:rPr>
                <w:sz w:val="16"/>
              </w:rPr>
              <w:t>Cobimetinib</w:t>
            </w:r>
          </w:p>
        </w:tc>
        <w:tc>
          <w:tcPr>
            <w:tcW w:type="dxa" w:w="1560"/>
            <w:tcMar>
              <w:top w:w="35" w:type="dxa"/>
              <w:bottom w:w="35" w:type="dxa"/>
              <w:left w:w="50" w:type="dxa"/>
              <w:right w:w="50" w:type="dxa"/>
            </w:tcMar>
          </w:tcPr>
          <w:p>
            <w:r>
              <w:rPr>
                <w:sz w:val="16"/>
              </w:rPr>
              <w:t>Intermediate / Poly-halogenated (F, I)</w:t>
            </w:r>
          </w:p>
        </w:tc>
        <w:tc>
          <w:tcPr>
            <w:tcW w:type="dxa" w:w="1560"/>
            <w:tcMar>
              <w:top w:w="35" w:type="dxa"/>
              <w:bottom w:w="35" w:type="dxa"/>
              <w:left w:w="50" w:type="dxa"/>
              <w:right w:w="50" w:type="dxa"/>
            </w:tcMar>
          </w:tcPr>
          <w:p>
            <w:r>
              <w:rPr>
                <w:sz w:val="16"/>
              </w:rPr>
              <w:t>531.3</w:t>
            </w:r>
          </w:p>
        </w:tc>
        <w:tc>
          <w:tcPr>
            <w:tcW w:type="dxa" w:w="1560"/>
            <w:tcMar>
              <w:top w:w="35" w:type="dxa"/>
              <w:bottom w:w="35" w:type="dxa"/>
              <w:left w:w="50" w:type="dxa"/>
              <w:right w:w="50" w:type="dxa"/>
            </w:tcMar>
          </w:tcPr>
          <w:p>
            <w:r>
              <w:rPr>
                <w:sz w:val="16"/>
              </w:rPr>
              <w:t>-13.47</w:t>
            </w:r>
          </w:p>
        </w:tc>
        <w:tc>
          <w:tcPr>
            <w:tcW w:type="dxa" w:w="1560"/>
            <w:tcMar>
              <w:top w:w="35" w:type="dxa"/>
              <w:bottom w:w="35" w:type="dxa"/>
              <w:left w:w="50" w:type="dxa"/>
              <w:right w:w="50" w:type="dxa"/>
            </w:tcMar>
          </w:tcPr>
          <w:p>
            <w:r>
              <w:rPr>
                <w:sz w:val="16"/>
              </w:rPr>
              <w:t>-5.12</w:t>
            </w:r>
          </w:p>
        </w:tc>
        <w:tc>
          <w:tcPr>
            <w:tcW w:type="dxa" w:w="1560"/>
            <w:tcMar>
              <w:top w:w="35" w:type="dxa"/>
              <w:bottom w:w="35" w:type="dxa"/>
              <w:left w:w="50" w:type="dxa"/>
              <w:right w:w="50" w:type="dxa"/>
            </w:tcMar>
          </w:tcPr>
          <w:p>
            <w:r>
              <w:rPr>
                <w:sz w:val="16"/>
              </w:rPr>
              <w:t>8.35</w:t>
            </w:r>
          </w:p>
        </w:tc>
      </w:tr>
      <w:tr>
        <w:tc>
          <w:tcPr>
            <w:tcW w:type="dxa" w:w="1560"/>
            <w:tcMar>
              <w:top w:w="35" w:type="dxa"/>
              <w:bottom w:w="35" w:type="dxa"/>
              <w:left w:w="50" w:type="dxa"/>
              <w:right w:w="50" w:type="dxa"/>
            </w:tcMar>
          </w:tcPr>
          <w:p>
            <w:r>
              <w:rPr>
                <w:sz w:val="16"/>
              </w:rPr>
              <w:t>Erlotinib</w:t>
            </w:r>
          </w:p>
        </w:tc>
        <w:tc>
          <w:tcPr>
            <w:tcW w:type="dxa" w:w="1560"/>
            <w:tcMar>
              <w:top w:w="35" w:type="dxa"/>
              <w:bottom w:w="35" w:type="dxa"/>
              <w:left w:w="50" w:type="dxa"/>
              <w:right w:w="50" w:type="dxa"/>
            </w:tcMar>
          </w:tcPr>
          <w:p>
            <w:r>
              <w:rPr>
                <w:sz w:val="16"/>
              </w:rPr>
              <w:t>Intermediate / Aromatic ether / TKI</w:t>
            </w:r>
          </w:p>
        </w:tc>
        <w:tc>
          <w:tcPr>
            <w:tcW w:type="dxa" w:w="1560"/>
            <w:tcMar>
              <w:top w:w="35" w:type="dxa"/>
              <w:bottom w:w="35" w:type="dxa"/>
              <w:left w:w="50" w:type="dxa"/>
              <w:right w:w="50" w:type="dxa"/>
            </w:tcMar>
          </w:tcPr>
          <w:p>
            <w:r>
              <w:rPr>
                <w:sz w:val="16"/>
              </w:rPr>
              <w:t>393.4</w:t>
            </w:r>
          </w:p>
        </w:tc>
        <w:tc>
          <w:tcPr>
            <w:tcW w:type="dxa" w:w="1560"/>
            <w:tcMar>
              <w:top w:w="35" w:type="dxa"/>
              <w:bottom w:w="35" w:type="dxa"/>
              <w:left w:w="50" w:type="dxa"/>
              <w:right w:w="50" w:type="dxa"/>
            </w:tcMar>
          </w:tcPr>
          <w:p>
            <w:r>
              <w:rPr>
                <w:sz w:val="16"/>
              </w:rPr>
              <w:t>-17.76</w:t>
            </w:r>
          </w:p>
        </w:tc>
        <w:tc>
          <w:tcPr>
            <w:tcW w:type="dxa" w:w="1560"/>
            <w:tcMar>
              <w:top w:w="35" w:type="dxa"/>
              <w:bottom w:w="35" w:type="dxa"/>
              <w:left w:w="50" w:type="dxa"/>
              <w:right w:w="50" w:type="dxa"/>
            </w:tcMar>
          </w:tcPr>
          <w:p>
            <w:r>
              <w:rPr>
                <w:sz w:val="16"/>
              </w:rPr>
              <w:t>-7.05</w:t>
            </w:r>
          </w:p>
        </w:tc>
        <w:tc>
          <w:tcPr>
            <w:tcW w:type="dxa" w:w="1560"/>
            <w:tcMar>
              <w:top w:w="35" w:type="dxa"/>
              <w:bottom w:w="35" w:type="dxa"/>
              <w:left w:w="50" w:type="dxa"/>
              <w:right w:w="50" w:type="dxa"/>
            </w:tcMar>
          </w:tcPr>
          <w:p>
            <w:r>
              <w:rPr>
                <w:sz w:val="16"/>
              </w:rPr>
              <w:t>10.71</w:t>
            </w:r>
          </w:p>
        </w:tc>
      </w:tr>
      <w:tr>
        <w:tc>
          <w:tcPr>
            <w:tcW w:type="dxa" w:w="1560"/>
            <w:tcMar>
              <w:top w:w="35" w:type="dxa"/>
              <w:bottom w:w="35" w:type="dxa"/>
              <w:left w:w="50" w:type="dxa"/>
              <w:right w:w="50" w:type="dxa"/>
            </w:tcMar>
          </w:tcPr>
          <w:p>
            <w:r>
              <w:rPr>
                <w:sz w:val="16"/>
              </w:rPr>
              <w:t>MRTX1719</w:t>
            </w:r>
          </w:p>
        </w:tc>
        <w:tc>
          <w:tcPr>
            <w:tcW w:type="dxa" w:w="1560"/>
            <w:tcMar>
              <w:top w:w="35" w:type="dxa"/>
              <w:bottom w:w="35" w:type="dxa"/>
              <w:left w:w="50" w:type="dxa"/>
              <w:right w:w="50" w:type="dxa"/>
            </w:tcMar>
          </w:tcPr>
          <w:p>
            <w:r>
              <w:rPr>
                <w:sz w:val="16"/>
              </w:rPr>
              <w:t>Intermediate / Sulfonamide (S-containing)</w:t>
            </w:r>
          </w:p>
        </w:tc>
        <w:tc>
          <w:tcPr>
            <w:tcW w:type="dxa" w:w="1560"/>
            <w:tcMar>
              <w:top w:w="35" w:type="dxa"/>
              <w:bottom w:w="35" w:type="dxa"/>
              <w:left w:w="50" w:type="dxa"/>
              <w:right w:w="50" w:type="dxa"/>
            </w:tcMar>
          </w:tcPr>
          <w:p>
            <w:r>
              <w:rPr>
                <w:sz w:val="16"/>
              </w:rPr>
              <w:t>472.5</w:t>
            </w:r>
          </w:p>
        </w:tc>
        <w:tc>
          <w:tcPr>
            <w:tcW w:type="dxa" w:w="1560"/>
            <w:tcMar>
              <w:top w:w="35" w:type="dxa"/>
              <w:bottom w:w="35" w:type="dxa"/>
              <w:left w:w="50" w:type="dxa"/>
              <w:right w:w="50" w:type="dxa"/>
            </w:tcMar>
          </w:tcPr>
          <w:p>
            <w:r>
              <w:rPr>
                <w:sz w:val="16"/>
              </w:rPr>
              <w:t>-21.06</w:t>
            </w:r>
          </w:p>
        </w:tc>
        <w:tc>
          <w:tcPr>
            <w:tcW w:type="dxa" w:w="1560"/>
            <w:tcMar>
              <w:top w:w="35" w:type="dxa"/>
              <w:bottom w:w="35" w:type="dxa"/>
              <w:left w:w="50" w:type="dxa"/>
              <w:right w:w="50" w:type="dxa"/>
            </w:tcMar>
          </w:tcPr>
          <w:p>
            <w:r>
              <w:rPr>
                <w:sz w:val="16"/>
              </w:rPr>
              <w:t>-4.57</w:t>
            </w:r>
          </w:p>
        </w:tc>
        <w:tc>
          <w:tcPr>
            <w:tcW w:type="dxa" w:w="1560"/>
            <w:tcMar>
              <w:top w:w="35" w:type="dxa"/>
              <w:bottom w:w="35" w:type="dxa"/>
              <w:left w:w="50" w:type="dxa"/>
              <w:right w:w="50" w:type="dxa"/>
            </w:tcMar>
          </w:tcPr>
          <w:p>
            <w:r>
              <w:rPr>
                <w:sz w:val="16"/>
              </w:rPr>
              <w:t>16.49</w:t>
            </w:r>
          </w:p>
        </w:tc>
      </w:tr>
      <w:tr>
        <w:tc>
          <w:tcPr>
            <w:tcW w:type="dxa" w:w="1560"/>
            <w:tcMar>
              <w:top w:w="35" w:type="dxa"/>
              <w:bottom w:w="35" w:type="dxa"/>
              <w:left w:w="50" w:type="dxa"/>
              <w:right w:w="50" w:type="dxa"/>
            </w:tcMar>
          </w:tcPr>
          <w:p>
            <w:r>
              <w:rPr>
                <w:sz w:val="16"/>
              </w:rPr>
              <w:t>MRTX1133</w:t>
            </w:r>
          </w:p>
        </w:tc>
        <w:tc>
          <w:tcPr>
            <w:tcW w:type="dxa" w:w="1560"/>
            <w:tcMar>
              <w:top w:w="35" w:type="dxa"/>
              <w:bottom w:w="35" w:type="dxa"/>
              <w:left w:w="50" w:type="dxa"/>
              <w:right w:w="50" w:type="dxa"/>
            </w:tcMar>
          </w:tcPr>
          <w:p>
            <w:r>
              <w:rPr>
                <w:sz w:val="16"/>
              </w:rPr>
              <w:t>Strong / KRAS-G12D Lead / Multi-ring</w:t>
            </w:r>
          </w:p>
        </w:tc>
        <w:tc>
          <w:tcPr>
            <w:tcW w:type="dxa" w:w="1560"/>
            <w:tcMar>
              <w:top w:w="35" w:type="dxa"/>
              <w:bottom w:w="35" w:type="dxa"/>
              <w:left w:w="50" w:type="dxa"/>
              <w:right w:w="50" w:type="dxa"/>
            </w:tcMar>
          </w:tcPr>
          <w:p>
            <w:r>
              <w:rPr>
                <w:sz w:val="16"/>
              </w:rPr>
              <w:t>600.6</w:t>
            </w:r>
          </w:p>
        </w:tc>
        <w:tc>
          <w:tcPr>
            <w:tcW w:type="dxa" w:w="1560"/>
            <w:tcMar>
              <w:top w:w="35" w:type="dxa"/>
              <w:bottom w:w="35" w:type="dxa"/>
              <w:left w:w="50" w:type="dxa"/>
              <w:right w:w="50" w:type="dxa"/>
            </w:tcMar>
          </w:tcPr>
          <w:p>
            <w:r>
              <w:rPr>
                <w:sz w:val="16"/>
              </w:rPr>
              <w:t>-35.03</w:t>
            </w:r>
          </w:p>
        </w:tc>
        <w:tc>
          <w:tcPr>
            <w:tcW w:type="dxa" w:w="1560"/>
            <w:tcMar>
              <w:top w:w="35" w:type="dxa"/>
              <w:bottom w:w="35" w:type="dxa"/>
              <w:left w:w="50" w:type="dxa"/>
              <w:right w:w="50" w:type="dxa"/>
            </w:tcMar>
          </w:tcPr>
          <w:p>
            <w:r>
              <w:rPr>
                <w:sz w:val="16"/>
              </w:rPr>
              <w:t>-1.91</w:t>
            </w:r>
          </w:p>
        </w:tc>
        <w:tc>
          <w:tcPr>
            <w:tcW w:type="dxa" w:w="1560"/>
            <w:tcMar>
              <w:top w:w="35" w:type="dxa"/>
              <w:bottom w:w="35" w:type="dxa"/>
              <w:left w:w="50" w:type="dxa"/>
              <w:right w:w="50" w:type="dxa"/>
            </w:tcMar>
          </w:tcPr>
          <w:p>
            <w:r>
              <w:rPr>
                <w:sz w:val="16"/>
              </w:rPr>
              <w:t>33.12</w:t>
            </w:r>
          </w:p>
        </w:tc>
      </w:tr>
      <w:tr>
        <w:tc>
          <w:tcPr>
            <w:tcW w:type="dxa" w:w="1560"/>
            <w:tcMar>
              <w:top w:w="35" w:type="dxa"/>
              <w:bottom w:w="35" w:type="dxa"/>
              <w:left w:w="50" w:type="dxa"/>
              <w:right w:w="50" w:type="dxa"/>
            </w:tcMar>
          </w:tcPr>
          <w:p>
            <w:r>
              <w:rPr>
                <w:sz w:val="16"/>
              </w:rPr>
              <w:t>Methotrexate</w:t>
            </w:r>
          </w:p>
        </w:tc>
        <w:tc>
          <w:tcPr>
            <w:tcW w:type="dxa" w:w="1560"/>
            <w:tcMar>
              <w:top w:w="35" w:type="dxa"/>
              <w:bottom w:w="35" w:type="dxa"/>
              <w:left w:w="50" w:type="dxa"/>
              <w:right w:w="50" w:type="dxa"/>
            </w:tcMar>
          </w:tcPr>
          <w:p>
            <w:r>
              <w:rPr>
                <w:sz w:val="16"/>
              </w:rPr>
              <w:t>Strong / Poly-nitrogenous folate</w:t>
            </w:r>
          </w:p>
        </w:tc>
        <w:tc>
          <w:tcPr>
            <w:tcW w:type="dxa" w:w="1560"/>
            <w:tcMar>
              <w:top w:w="35" w:type="dxa"/>
              <w:bottom w:w="35" w:type="dxa"/>
              <w:left w:w="50" w:type="dxa"/>
              <w:right w:w="50" w:type="dxa"/>
            </w:tcMar>
          </w:tcPr>
          <w:p>
            <w:r>
              <w:rPr>
                <w:sz w:val="16"/>
              </w:rPr>
              <w:t>454.4</w:t>
            </w:r>
          </w:p>
        </w:tc>
        <w:tc>
          <w:tcPr>
            <w:tcW w:type="dxa" w:w="1560"/>
            <w:tcMar>
              <w:top w:w="35" w:type="dxa"/>
              <w:bottom w:w="35" w:type="dxa"/>
              <w:left w:w="50" w:type="dxa"/>
              <w:right w:w="50" w:type="dxa"/>
            </w:tcMar>
          </w:tcPr>
          <w:p>
            <w:r>
              <w:rPr>
                <w:sz w:val="16"/>
              </w:rPr>
              <w:t>-39.17</w:t>
            </w:r>
          </w:p>
        </w:tc>
        <w:tc>
          <w:tcPr>
            <w:tcW w:type="dxa" w:w="1560"/>
            <w:tcMar>
              <w:top w:w="35" w:type="dxa"/>
              <w:bottom w:w="35" w:type="dxa"/>
              <w:left w:w="50" w:type="dxa"/>
              <w:right w:w="50" w:type="dxa"/>
            </w:tcMar>
          </w:tcPr>
          <w:p>
            <w:r>
              <w:rPr>
                <w:sz w:val="16"/>
              </w:rPr>
              <w:t>-3.03</w:t>
            </w:r>
          </w:p>
        </w:tc>
        <w:tc>
          <w:tcPr>
            <w:tcW w:type="dxa" w:w="1560"/>
            <w:tcMar>
              <w:top w:w="35" w:type="dxa"/>
              <w:bottom w:w="35" w:type="dxa"/>
              <w:left w:w="50" w:type="dxa"/>
              <w:right w:w="50" w:type="dxa"/>
            </w:tcMar>
          </w:tcPr>
          <w:p>
            <w:r>
              <w:rPr>
                <w:sz w:val="16"/>
              </w:rPr>
              <w:t>36.14</w:t>
            </w:r>
          </w:p>
        </w:tc>
      </w:tr>
      <w:tr>
        <w:tc>
          <w:tcPr>
            <w:tcW w:type="dxa" w:w="1560"/>
            <w:shd w:fill="E0F2F1"/>
            <w:tcMar>
              <w:top w:w="35" w:type="dxa"/>
              <w:bottom w:w="35" w:type="dxa"/>
              <w:left w:w="50" w:type="dxa"/>
              <w:right w:w="50" w:type="dxa"/>
            </w:tcMar>
          </w:tcPr>
          <w:p>
            <w:r>
              <w:rPr>
                <w:b/>
                <w:sz w:val="16"/>
              </w:rPr>
              <w:t>Summary Statistics</w:t>
            </w:r>
          </w:p>
        </w:tc>
        <w:tc>
          <w:tcPr>
            <w:tcW w:type="dxa" w:w="1560"/>
            <w:shd w:fill="E0F2F1"/>
            <w:tcMar>
              <w:top w:w="35" w:type="dxa"/>
              <w:bottom w:w="35" w:type="dxa"/>
              <w:left w:w="50" w:type="dxa"/>
              <w:right w:w="50" w:type="dxa"/>
            </w:tcMar>
          </w:tcPr>
          <w:p>
            <w:r>
              <w:rPr>
                <w:b/>
                <w:sz w:val="16"/>
              </w:rPr>
              <w:t>n=10 systems</w:t>
            </w:r>
          </w:p>
        </w:tc>
        <w:tc>
          <w:tcPr>
            <w:tcW w:type="dxa" w:w="1560"/>
            <w:shd w:fill="E0F2F1"/>
            <w:tcMar>
              <w:top w:w="35" w:type="dxa"/>
              <w:bottom w:w="35" w:type="dxa"/>
              <w:left w:w="50" w:type="dxa"/>
              <w:right w:w="50" w:type="dxa"/>
            </w:tcMar>
          </w:tcPr>
          <w:p>
            <w:r>
              <w:rPr>
                <w:b/>
                <w:sz w:val="16"/>
              </w:rPr>
              <w:t>-</w:t>
            </w:r>
          </w:p>
        </w:tc>
        <w:tc>
          <w:tcPr>
            <w:tcW w:type="dxa" w:w="1560"/>
            <w:shd w:fill="E0F2F1"/>
            <w:tcMar>
              <w:top w:w="35" w:type="dxa"/>
              <w:bottom w:w="35" w:type="dxa"/>
              <w:left w:w="50" w:type="dxa"/>
              <w:right w:w="50" w:type="dxa"/>
            </w:tcMar>
          </w:tcPr>
          <w:p>
            <w:r>
              <w:rPr>
                <w:b/>
                <w:sz w:val="16"/>
              </w:rPr>
              <w:t>MSE = -12.82</w:t>
            </w:r>
          </w:p>
        </w:tc>
        <w:tc>
          <w:tcPr>
            <w:tcW w:type="dxa" w:w="1560"/>
            <w:shd w:fill="E0F2F1"/>
            <w:tcMar>
              <w:top w:w="35" w:type="dxa"/>
              <w:bottom w:w="35" w:type="dxa"/>
              <w:left w:w="50" w:type="dxa"/>
              <w:right w:w="50" w:type="dxa"/>
            </w:tcMar>
          </w:tcPr>
          <w:p>
            <w:r>
              <w:rPr>
                <w:b/>
                <w:sz w:val="16"/>
              </w:rPr>
              <w:t>RMSE = 17.34</w:t>
            </w:r>
          </w:p>
        </w:tc>
        <w:tc>
          <w:tcPr>
            <w:tcW w:type="dxa" w:w="1560"/>
            <w:shd w:fill="E0F2F1"/>
            <w:tcMar>
              <w:top w:w="35" w:type="dxa"/>
              <w:bottom w:w="35" w:type="dxa"/>
              <w:left w:w="50" w:type="dxa"/>
              <w:right w:w="50" w:type="dxa"/>
            </w:tcMar>
          </w:tcPr>
          <w:p>
            <w:r>
              <w:rPr>
                <w:b/>
                <w:sz w:val="16"/>
              </w:rPr>
              <w:t>MAE = 12.82</w:t>
            </w:r>
          </w:p>
        </w:tc>
      </w:tr>
    </w:tbl>
    <w:p>
      <w:pPr>
        <w:spacing w:before="160" w:after="60"/>
        <w:jc w:val="center"/>
      </w:pPr>
      <w:r>
        <w:drawing>
          <wp:inline xmlns:a="http://schemas.openxmlformats.org/drawingml/2006/main" xmlns:pic="http://schemas.openxmlformats.org/drawingml/2006/picture">
            <wp:extent cx="5669280" cy="4902706"/>
            <wp:docPr id="4" name="Picture 4"/>
            <wp:cNvGraphicFramePr>
              <a:graphicFrameLocks noChangeAspect="1"/>
            </wp:cNvGraphicFramePr>
            <a:graphic>
              <a:graphicData uri="http://schemas.openxmlformats.org/drawingml/2006/picture">
                <pic:pic>
                  <pic:nvPicPr>
                    <pic:cNvPr id="0" name="fig6_multilevel_quantum_benchmark.jpg"/>
                    <pic:cNvPicPr/>
                  </pic:nvPicPr>
                  <pic:blipFill>
                    <a:blip r:embed="rId12"/>
                    <a:stretch>
                      <a:fillRect/>
                    </a:stretch>
                  </pic:blipFill>
                  <pic:spPr>
                    <a:xfrm>
                      <a:off x="0" y="0"/>
                      <a:ext cx="5669280" cy="4902706"/>
                    </a:xfrm>
                    <a:prstGeom prst="rect"/>
                  </pic:spPr>
                </pic:pic>
              </a:graphicData>
            </a:graphic>
          </wp:inline>
        </w:drawing>
      </w:r>
    </w:p>
    <w:p>
      <w:pPr>
        <w:spacing w:after="200" w:line="276" w:lineRule="auto"/>
      </w:pPr>
      <w:r>
        <w:rPr>
          <w:b/>
          <w:color w:val="004D40"/>
          <w:sz w:val="18"/>
        </w:rPr>
        <w:t xml:space="preserve">Figure 3: </w:t>
      </w:r>
      <w:r>
        <w:rPr>
          <w:i/>
          <w:sz w:val="18"/>
        </w:rPr>
        <w:t xml:space="preserve"> Dedicated Multilevel Quantum Chemistry Benchmark: (a) Parity correlation between standardized GFN2-xTB interaction energies and dispersion-corrected DFT single-point reference calculations (ORCA 6.1.1, B3LYP-D3BJ/def2-SVP, TightSCF) across eight representative oncology therapeutics, demonstrating strong rank preservation (Spearman rank correlation rho = 0.96, p = 0.0001; MAE = 2.14 kcal/mol, RMSE = 2.68 kcal/mol); (b) Residual signed error distribution across diverse chemical scaffolds (antimetabolites, TKIs, sulfonamides, and folate antagonists); (c) Spearman rank ordering preservation comparison between DFT reference and GFN2-xTB; (d) Semiempirical Hamiltonian sensitivity comparison between GFN2-xTB and GFN1-xTB (MSE = -12.82 kcal/mol, MAE = 12.82 kcal/mol, RMSE = 17.34 kcal/mol; R2 = 0.254), illustrating multi-term Hamiltonian refinements.</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fully leak-free nested 5x5 cross-validation protocol (StandardScaler fit inside the modelling pipeline on outer-training folds only; Ridge alpha selected by inner cross-validation, final alpha = 3.0), achieving solid pooled predictive fidelity: nested Q²_CV = +0.584 (individual outer-fold Q² values: Fold 1 = 0.784, Fold 2 = 0.358, Fold 3 = 0.052, Fold 4 = 0.671, Fold 5 = 0.707; mean-of-folds Q² = 0.515 +/- 0.305), RMSE = 5.11 kcal/mol (95% bootstrap CI: [4.19, 5.99]), and MAE = 4.33 kcal/mol (95% bootstrap CI: [3.42, 5.28]) (Figure 4a). Y-scrambling permutation testing across 1,000 iterations (identical nested procedure on permuted labels) yielded a mean scrambled Q² of -0.12 (Figure 4c), with an empirical permutation p-value of 0.001, confirming that the observed predictive performance is unlikely to arise from chance correlation. In the Williams plot (Figure 4b),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5" name="Picture 5"/>
            <wp:cNvGraphicFramePr>
              <a:graphicFrameLocks noChangeAspect="1"/>
            </wp:cNvGraphicFramePr>
            <a:graphic>
              <a:graphicData uri="http://schemas.openxmlformats.org/drawingml/2006/picture">
                <pic:pic>
                  <pic:nvPicPr>
                    <pic:cNvPr id="0" name="fig8_qspr_validation_final.jpg"/>
                    <pic:cNvPicPr/>
                  </pic:nvPicPr>
                  <pic:blipFill>
                    <a:blip r:embed="rId13"/>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4: </w:t>
      </w:r>
      <w:r>
        <w:rPr>
          <w:i/>
          <w:sz w:val="18"/>
        </w:rPr>
        <w:t xml:space="preserve"> Statistical Validation and Applicability Domain of the Regularized Ridge QSPR Surrogate Model (leak-free nested 5x5 CV): (a) Out-of-fold (OOF) observed vs predicted Delta_E_int,std parity plot (Q²_CV = +0.584, RMSE = 5.11 kcal/mol, MAE = 4.33 kcal/mol); (b) Williams plot defining the OECD Principle 3 applicability domain (p=4, n=33, warning leverage limit h* = 0.455, standardized residual boundaries +/-3sigma; 32/33 training compounds fully contained); (c) 1,000 Y-scrambling permutation distribution (mean Q²_scrambled = -0.12, empirical permutation p = 0.001); (d) Prospective GFN2-xTB quantum confirmation on prioritized screening leads (MAE = 3.82 kcal/mol, RMSE = 5.16 kcal/mol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prospective GFN2-xTB quantum confirmation and confirmatory AutoDock Vina docking against PDB 7RPZ (Table 3, Figure 5).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(MAE = 3.82 kcal/mol, RMSE = 5.16 kcal/mol), with close agreement for three of five prioritized leads and larger deviations for Avapritinib and Capivasertib (Futibatinib: QSPR -16.02 vs QM -16.39 kcal/mol, error = +0.37 kcal/mol; Belumosudil: QSPR -15.43 vs QM -17.36 kcal/mol, error = +1.93 kcal/mol; Pimicotinib: QSPR -13.88 vs QM -14.99 kcal/mol, error = +1.11 kcal/mol; Avapritinib: error = -6.27 kcal/mol; Capivasertib: error = +9.42 kcal/mol). All leads demonstrated favorable predicted Switch II pocket compatibility (-7.64 to -9.43 kcal/mol) with size-normalized Ligand Efficiency (LE = 0.255 to 0.292 kcal/mol/atom).</w:t>
      </w:r>
    </w:p>
    <w:p/>
    <w:p>
      <w:r>
        <w:rPr>
          <w:b/>
          <w:sz w:val="20"/>
        </w:rPr>
        <w:t>Table 3: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-19.40</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-6.27</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-16.02</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+0.37</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-15.43</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+1.93</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-12.01</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+9.42</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-13.88</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+1.11</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878132"/>
            <wp:docPr id="6" name="Picture 6"/>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4"/>
                    <a:stretch>
                      <a:fillRect/>
                    </a:stretch>
                  </pic:blipFill>
                  <pic:spPr>
                    <a:xfrm>
                      <a:off x="0" y="0"/>
                      <a:ext cx="5669280" cy="2878132"/>
                    </a:xfrm>
                    <a:prstGeom prst="rect"/>
                  </pic:spPr>
                </pic:pic>
              </a:graphicData>
            </a:graphic>
          </wp:inline>
        </w:drawing>
      </w:r>
    </w:p>
    <w:p>
      <w:pPr>
        <w:spacing w:after="200" w:line="276" w:lineRule="auto"/>
      </w:pPr>
      <w:r>
        <w:rPr>
          <w:b/>
          <w:color w:val="004D40"/>
          <w:sz w:val="18"/>
        </w:rPr>
        <w:t xml:space="preserve">Figure 5: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3164249"/>
            <wp:docPr id="7" name="Picture 7"/>
            <wp:cNvGraphicFramePr>
              <a:graphicFrameLocks noChangeAspect="1"/>
            </wp:cNvGraphicFramePr>
            <a:graphic>
              <a:graphicData uri="http://schemas.openxmlformats.org/drawingml/2006/picture">
                <pic:pic>
                  <pic:nvPicPr>
                    <pic:cNvPr id="0" name="fig10_atomistic_multiscale_final.jpg"/>
                    <pic:cNvPicPr/>
                  </pic:nvPicPr>
                  <pic:blipFill>
                    <a:blip r:embed="rId15"/>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Figure 6: </w:t>
      </w:r>
      <w:r>
        <w:rPr>
          <w:i/>
          <w:sz w:val="18"/>
        </w:rPr>
        <w:t xml:space="preserve"> Multi-Scale Atomistic Structural Architecture and 2D g-C3N4 Carrier Surface: (a) KRAS-G12D Switch II allosteric pocket with docked MRTX1133 (-9.16 kcal/mol); (b) Direct residue coordination network between MRTX1133 and surrounding residues with measured contact distances (ionic salt-bridge with mutant Asp12, H-bond with Arg68, and aromatic stacking with Tyr96); (c) Pristine 2D g-C3N4 finite planar cluster model (C21N21H6, 48 atoms) with MRTX1133 in standardized parallel stacking at z = 3.35 Angstroms (Delta_E_int,std = -35.03 kcal/mol); (d) B/P co-doped g-C3N4 planar cluster model (C20B1N20P1H6) displaying localized electrostatic charge polarization (Delta_Q = +0.082 e for MRTX1133) and heteroatom dopant sites.</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6b), 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+0.655 e across the cohort; for MRTX1133 specifically: Delta_Q = +0.082 e).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+0.082 e for MRTX1133) rather than substantially altering interaction energetics; (4) Higher-level dispersion-corrected DFT single-point reference calculations (ORCA 6.1.1, B3LYP-D3BJ/def2-SVP) across eight representative oncology therapeutics confirm strong rank preservation (Spearman rho = 0.96, p = 0.0001; MAE = 2.14 kcal/mol; BSSE/def2-TZVP convergence verified); (5) A leak-free nested 5x5 surrogate QSPR model structured under OECD Principles 1-5 (Table S3) and verified by 1,000 Y-scrambling permutations (nested Q²_CV = +0.584 vs Q²_scrambled = -0.12, p = 0.001) successfully prioritizes clinical-stage DrugBank oncology leads; prospective quantum confirmation showed informative predictive performance (MAE = 3.82 kcal/mol) and favorable predicted Switch II pocket compatibility (LE = 0.255 to 0.292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(Release v1.0.0, Git commit SHA: 940cba4)</w:t>
        <w:br/>
        <w:t>• Permanent Archival DOI: Zenodo Repository DOI: 10.5281/zenodo.22187819</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4D40"/>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4D40"/>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4D40"/>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4D40"/>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4D40"/>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4D40"/>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4D40"/>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4D40"/>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4D40"/>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4D40"/>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4D40"/>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4D40"/>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4D40"/>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4D40"/>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4D40"/>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4D40"/>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4D40"/>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4D40"/>
          <w:sz w:val="18"/>
        </w:rPr>
        <w:t>doi:10.1021/acs.jcim.1c00203</w:t>
      </w:r>
    </w:p>
    <w:p>
      <w:pPr>
        <w:spacing w:after="60"/>
        <w:ind w:left="576"/>
      </w:pPr>
      <w:r>
        <w:rPr>
          <w:b/>
        </w:rPr>
        <w:t xml:space="preserve">31. </w:t>
      </w:r>
      <w:r>
        <w:t xml:space="preserve">Berman, H. M. The Protein Data Bank. Nucleic Acids Research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4D40"/>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4D40"/>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4D40"/>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4D40"/>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4D40"/>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4D40"/>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4D40"/>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4D40"/>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4D40"/>
          <w:sz w:val="18"/>
        </w:rPr>
        <w:t>doi:10.3390/pharmaceutics9040039</w:t>
      </w:r>
    </w:p>
    <w:p>
      <w:pPr>
        <w:spacing w:after="60"/>
        <w:ind w:left="576"/>
      </w:pPr>
      <w:r>
        <w:rPr>
          <w:b/>
        </w:rPr>
        <w:t xml:space="preserve">62. </w:t>
      </w:r>
      <w:r>
        <w:t xml:space="preserve">Hanahan, D. Hallmarks of Cancer: New Dimensions. Cancer Discovery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4D40"/>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4D40"/>
          <w:sz w:val="18"/>
        </w:rPr>
        <w:t>doi:10.1038/s41571-026-01162-x</w:t>
      </w:r>
    </w:p>
    <w:p>
      <w:pPr>
        <w:spacing w:after="60"/>
        <w:ind w:left="576"/>
      </w:pPr>
      <w:r>
        <w:rPr>
          <w:b/>
        </w:rPr>
        <w:t xml:space="preserve">69. </w:t>
      </w:r>
      <w:r>
        <w:t xml:space="preserve">Neese, F. Software update: The ORCA program system—Version 5.0. WIREs Computational Molecular Science 2022, 12 (5). </w:t>
      </w:r>
      <w:r>
        <w:rPr>
          <w:i/>
          <w:color w:val="004D40"/>
          <w:sz w:val="18"/>
        </w:rPr>
        <w:t>doi:10.1002/wcms.1606</w:t>
      </w:r>
    </w:p>
    <w:p>
      <w:pPr>
        <w:spacing w:after="60"/>
        <w:ind w:left="576"/>
      </w:pPr>
      <w:r>
        <w:rPr>
          <w:b/>
        </w:rPr>
        <w:t xml:space="preserve">70. </w:t>
      </w:r>
      <w:r>
        <w:t xml:space="preserve">Becke, A. D. Density-functional thermochemistry. III. The role of exact exchange. The Journal of Chemical Physics 1993, 98 (7), 5648-5652. </w:t>
      </w:r>
      <w:r>
        <w:rPr>
          <w:i/>
          <w:color w:val="004D40"/>
          <w:sz w:val="18"/>
        </w:rPr>
        <w:t>doi:10.1063/1.464913</w:t>
      </w:r>
    </w:p>
    <w:p>
      <w:pPr>
        <w:spacing w:after="60"/>
        <w:ind w:left="576"/>
      </w:pPr>
      <w:r>
        <w:rPr>
          <w:b/>
        </w:rPr>
        <w:t xml:space="preserve">71. </w:t>
      </w:r>
      <w:r>
        <w:t xml:space="preserve">Grimme, S.; Ehrlich, S.; Goerigk, L. Effect of the damping function in dispersion corrected density functional theory. Journal of Computational Chemistry 2011, 32 (7), 1456-1465. </w:t>
      </w:r>
      <w:r>
        <w:rPr>
          <w:i/>
          <w:color w:val="004D40"/>
          <w:sz w:val="18"/>
        </w:rPr>
        <w:t>doi:10.1002/jcc.21759</w:t>
      </w:r>
    </w:p>
    <w:p>
      <w:pPr>
        <w:spacing w:after="60"/>
        <w:ind w:left="576"/>
      </w:pPr>
      <w:r>
        <w:rPr>
          <w:b/>
        </w:rPr>
        <w:t xml:space="preserve">72. </w:t>
      </w:r>
      <w:r>
        <w:t xml:space="preserve">Weigend, F.; Ahlrichs, R. Balanced basis sets of split valence, triple zeta valence and quadruple zeta valence quality for H to Rn: Design and assessment of accuracy. Physical Chemistry Chemical Physics 2005, 7 (18), 3297. </w:t>
      </w:r>
      <w:r>
        <w:rPr>
          <w:i/>
          <w:color w:val="004D40"/>
          <w:sz w:val="18"/>
        </w:rPr>
        <w:t>doi:10.1039/b508541a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