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are prone to pathological cross-β amyloid transitions. Here we establish a coarse-grained statistical-thermodynamic and kinetic framework that combines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shows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at room and sub-physiological temperatures and depleting ~60% of the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that the apparent cloud point depends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markedly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versatile platforms with 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remains lacking. In this study, we formulate a statistical-thermodynamic and kinetic framework in which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driven by the hydrophobic desolvation entropy of the repeat-domain hexapeptide motifs (VQIINK in R2 and VQIVYK in R3)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by Brent's method, consistent with the ~15 °C turbidity onset reported in Figure 2b of Ambadipudi et al. (Fig. 1a, inset) [5].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the free monomer concentration drops by nearly 60% to c_free ≈ 41.4 µM, shifting the apparent cloud point to 29.4 °C and dissolving the condensate below that temperature. In contrast, the Ti3C2Tx MXene-like scenario (Scenario 2, ΔG_ads = -5.2 kcal/mol), exhibiting weaker adsorption affinity, produces only partial depletion (c_free ≈ 87.6 µM at a_s = 1.0×10⁻⁴ nm⁻¹), leaving droplets stable across this area-density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moderate ionic strength preserves condensate stability, whereas elevated salt screens the electrostatic contribution and narrows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quantitatively compares the predicted behavior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thermodynamic binodal-crossing condition φ_tilde_free(T, a_s) = φ_tilde_dilute(T) by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Apparent cloud-point temperature T_cloud^app vs interfacial area density a_s, obtained by solving the binodal-crossing condition by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emphasize that this kinetic module is a prospective, normalized amyloid-aging model, since spontaneous fibrillation of pure Tau K18 without polyanionic cofactors such as heparin proceeds much more slowly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We extended the same 8-parameter Sobol design to a third output, the physiological (37 °C) wetting angle θ_c (Fig. 5c), evaluated directly from the bulk binodal and the Langmuir surface grand potential at every sample. Adsorption free energy ΔG_ads dominates (S_T = 0.67 ± 0.07), followed by the phenomenological coupling factor η_eff (S_T = 0.29 ± 0.04, which enters θ_c linearly through Δγ_s but has no effect on T_cloud^app or M_final) and thermal slope β (S_T = 0.21 ± 0.03); critical temperature, segment length and ionic strength contribute only weakly (S_T &lt; 0.04). As with the aging kinetics, area density a_s and extraction rate k_ext evaluate to exact structural zeros for θ_c,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(b) fibrillation arrest M_final (evaluated directly via kinetic ODEs), and (c) physiological wetting angle θ_c at 37 °C (evaluated directly from the bulk binodal and the Langmuir surface grand potential). (d-f) Block sensitivity trajectories S_Ti(N) across dyadic sub-block sample sizes N ∈ {128, 256, 512, 1024} for the same three outputs;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We state the model's limitations and domain of validity explicitly. (i) This work is deliberately formulated as a predictive theoretical study: bulk phase separation is parameterized against published Tau K18 turbidity measurements [5], whereas the nanomaterial-dependent adsorption, wetting, and kinetic outputs are presented as prospective, falsifiable model-scenario predictions rather than as direct experimental validation. (ii) Tau K18 is an experimentally well-characterized four-repeat (R1-R4) construct that contains the principal amyloidogenic hexapeptide motifs (VQIINK in R2, VQIVYK in R3); extrapolation to full-length Tau (Tau-441), which carries large charged projection domains and a distinct regulatory phosphorylation landscape, will require independent parameterization. (iii) φ_tilde is an effective coarse-grained order parameter representing lattice occupancy rather than atomistic coordinates. (iv) The solvent is treated implicitly, without explicit conformational dynamics. (v) The adsorption isotherm is idealized as non-cooperative Langmuir binding. (vi) Borophene and MXene are represented as idealized, stable 2D nanosheets, without explicit chemical oxidation or restacking kinetics. (vii) Local surface-termination micro-heterogeneity is not resolved. Future work combining all-atom molecular dynamics with continuum phase-field modeling would provide atomistic resolution of the 2D-interface-induced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and the critical parameters (φ_c = 0.247, χ_c = 0.872) are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The resulting contact angles are therefore conditional on η_eff. Young's equation then gives:</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Gaussian distributions for ΔG_ads (standard deviation 0.25 kcal/mol) and η_eff (standard deviation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the mass-conserving kinetic master equations for M_final, and the physiological (37 °C) wetting angle θ_c evaluated directly from the bulk binodal and the Langmuir surface grand potential (Section 3.4) for the same sample.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tools (large language models) were used to assist with code development, testing, and language editing; no figure, including the graphical abstract, contains AI-generated imagery. All models, analyses, results, and citations were designed, verified, and approved by the authors, who take full responsibility for the content.</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