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rFonts w:ascii="Arial" w:hAnsi="Arial"/>
          <w:b w:val="0"/>
          <w:i w:val="0"/>
          <w:sz w:val="19"/>
        </w:rPr>
        <w:t>Biomolecular condensates formed via liquid-liquid phase separation (LLPS) of the intrinsically disordered protein Tau are implicated in subcellular compartmentalization, yet dense condensates are prone to pathological cross-β amyloid transitions. Here we establish a coarse-grained statistical-thermodynamic and kinetic framework that combines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shows that 2D interface-mediated LLPS suppression emerges self-consistently from interfacial monomer sequestration governed by area density a</w:t>
      </w:r>
      <w:r>
        <w:rPr>
          <w:rFonts w:ascii="Arial" w:hAnsi="Arial"/>
          <w:b w:val="0"/>
          <w:i w:val="0"/>
          <w:sz w:val="19"/>
          <w:vertAlign w:val="subscript"/>
        </w:rPr>
        <w:t>s</w:t>
      </w:r>
      <w:r>
        <w:rPr>
          <w:rFonts w:ascii="Arial" w:hAnsi="Arial"/>
          <w:b w:val="0"/>
          <w:i w:val="0"/>
          <w:sz w:val="19"/>
        </w:rPr>
        <w:t xml:space="preserve"> (without empirical alterations to the intrinsic Flory parameter, ∂χ/∂a</w:t>
      </w:r>
      <w:r>
        <w:rPr>
          <w:rFonts w:ascii="Arial" w:hAnsi="Arial"/>
          <w:b w:val="0"/>
          <w:i w:val="0"/>
          <w:sz w:val="19"/>
          <w:vertAlign w:val="subscript"/>
        </w:rPr>
        <w:t>s</w:t>
      </w:r>
      <w:r>
        <w:rPr>
          <w:rFonts w:ascii="Arial" w:hAnsi="Arial"/>
          <w:b w:val="0"/>
          <w:i w:val="0"/>
          <w:sz w:val="19"/>
        </w:rPr>
        <w:t xml:space="preserve"> = 0). Using literature-informed representative parameter scenarios, a high-affinity borophene-like scenario (ΔG</w:t>
      </w:r>
      <w:r>
        <w:rPr>
          <w:rFonts w:ascii="Arial" w:hAnsi="Arial"/>
          <w:b w:val="0"/>
          <w:i w:val="0"/>
          <w:sz w:val="19"/>
          <w:vertAlign w:val="subscript"/>
        </w:rPr>
        <w:t>ads</w:t>
      </w:r>
      <w:r>
        <w:rPr>
          <w:rFonts w:ascii="Arial" w:hAnsi="Arial"/>
          <w:b w:val="0"/>
          <w:i w:val="0"/>
          <w:sz w:val="19"/>
        </w:rPr>
        <w:t xml:space="preserve"> = -7.8 kcal/mol, contact angle θ</w:t>
      </w:r>
      <w:r>
        <w:rPr>
          <w:rFonts w:ascii="Arial" w:hAnsi="Arial"/>
          <w:b w:val="0"/>
          <w:i w:val="0"/>
          <w:sz w:val="19"/>
          <w:vertAlign w:val="subscript"/>
        </w:rPr>
        <w:t>c</w:t>
      </w:r>
      <w:r>
        <w:rPr>
          <w:rFonts w:ascii="Arial" w:hAnsi="Arial"/>
          <w:b w:val="0"/>
          <w:i w:val="0"/>
          <w:sz w:val="19"/>
        </w:rPr>
        <w:t xml:space="preserve"> = 50.3°) shifts the apparent cloud point to 29.4 °C at a</w:t>
      </w:r>
      <w:r>
        <w:rPr>
          <w:rFonts w:ascii="Arial" w:hAnsi="Arial"/>
          <w:b w:val="0"/>
          <w:i w:val="0"/>
          <w:sz w:val="19"/>
          <w:vertAlign w:val="subscript"/>
        </w:rPr>
        <w:t>s</w:t>
      </w:r>
      <w:r>
        <w:rPr>
          <w:rFonts w:ascii="Arial" w:hAnsi="Arial"/>
          <w:b w:val="0"/>
          <w:i w:val="0"/>
          <w:sz w:val="19"/>
        </w:rPr>
        <w:t xml:space="preserve"> = 1.0×10⁻⁴ nm⁻¹, dissolving condensates at room and sub-physiological temperatures and depleting ~60% of the free monomer at 37 °C. In contrast, a moderate-affinity Ti₃C₂Tₓ MXene-like scenario (ΔG</w:t>
      </w:r>
      <w:r>
        <w:rPr>
          <w:rFonts w:ascii="Arial" w:hAnsi="Arial"/>
          <w:b w:val="0"/>
          <w:i w:val="0"/>
          <w:sz w:val="19"/>
          <w:vertAlign w:val="subscript"/>
        </w:rPr>
        <w:t>ads</w:t>
      </w:r>
      <w:r>
        <w:rPr>
          <w:rFonts w:ascii="Arial" w:hAnsi="Arial"/>
          <w:b w:val="0"/>
          <w:i w:val="0"/>
          <w:sz w:val="19"/>
        </w:rPr>
        <w:t xml:space="preserve"> = -5.2 kcal/mol, θ</w:t>
      </w:r>
      <w:r>
        <w:rPr>
          <w:rFonts w:ascii="Arial" w:hAnsi="Arial"/>
          <w:b w:val="0"/>
          <w:i w:val="0"/>
          <w:sz w:val="19"/>
          <w:vertAlign w:val="subscript"/>
        </w:rPr>
        <w:t>c</w:t>
      </w:r>
      <w:r>
        <w:rPr>
          <w:rFonts w:ascii="Arial" w:hAnsi="Arial"/>
          <w:b w:val="0"/>
          <w:i w:val="0"/>
          <w:sz w:val="19"/>
        </w:rPr>
        <w:t xml:space="preserve"> = 79.3°) produces modest depletion, maintaining stable droplet coexistence. Within a kinetic formulation that holds the intrinsic aggregation rate-law structure fixed, interfacial sequestration delays secondary-nucleation-driven aging. A converged global sensitivity analysis shows that the apparent cloud point depends near-additively and comparably on the bulk-LCST parameters (β, T</w:t>
      </w:r>
      <w:r>
        <w:rPr>
          <w:rFonts w:ascii="Arial" w:hAnsi="Arial"/>
          <w:b w:val="0"/>
          <w:i w:val="0"/>
          <w:sz w:val="19"/>
          <w:vertAlign w:val="subscript"/>
        </w:rPr>
        <w:t>c</w:t>
      </w:r>
      <w:r>
        <w:rPr>
          <w:rFonts w:ascii="Arial" w:hAnsi="Arial"/>
          <w:b w:val="0"/>
          <w:i w:val="0"/>
          <w:sz w:val="19"/>
        </w:rPr>
        <w:t>) and the interfacial parameters (ΔG</w:t>
      </w:r>
      <w:r>
        <w:rPr>
          <w:rFonts w:ascii="Arial" w:hAnsi="Arial"/>
          <w:b w:val="0"/>
          <w:i w:val="0"/>
          <w:sz w:val="19"/>
          <w:vertAlign w:val="subscript"/>
        </w:rPr>
        <w:t>ads</w:t>
      </w:r>
      <w:r>
        <w:rPr>
          <w:rFonts w:ascii="Arial" w:hAnsi="Arial"/>
          <w:b w:val="0"/>
          <w:i w:val="0"/>
          <w:sz w:val="19"/>
        </w:rPr>
        <w:t>, a</w:t>
      </w:r>
      <w:r>
        <w:rPr>
          <w:rFonts w:ascii="Arial" w:hAnsi="Arial"/>
          <w:b w:val="0"/>
          <w:i w:val="0"/>
          <w:sz w:val="19"/>
          <w:vertAlign w:val="subscript"/>
        </w:rPr>
        <w:t>s</w:t>
      </w:r>
      <w:r>
        <w:rPr>
          <w:rFonts w:ascii="Arial" w:hAnsi="Arial"/>
          <w:b w:val="0"/>
          <w:i w:val="0"/>
          <w:sz w:val="19"/>
        </w:rPr>
        <w:t>), whereas fibrillation arrest is governed almost entirely by area density a</w:t>
      </w:r>
      <w:r>
        <w:rPr>
          <w:rFonts w:ascii="Arial" w:hAnsi="Arial"/>
          <w:b w:val="0"/>
          <w:i w:val="0"/>
          <w:sz w:val="19"/>
          <w:vertAlign w:val="subscript"/>
        </w:rPr>
        <w:t>s</w:t>
      </w:r>
      <w:r>
        <w:rPr>
          <w:rFonts w:ascii="Arial" w:hAnsi="Arial"/>
          <w:b w:val="0"/>
          <w:i w:val="0"/>
          <w:sz w:val="19"/>
        </w:rPr>
        <w:t xml:space="preserve"> and extraction rate k</w:t>
      </w:r>
      <w:r>
        <w:rPr>
          <w:rFonts w:ascii="Arial" w:hAnsi="Arial"/>
          <w:b w:val="0"/>
          <w:i w:val="0"/>
          <w:sz w:val="19"/>
          <w:vertAlign w:val="subscript"/>
        </w:rPr>
        <w:t>ext</w:t>
      </w:r>
      <w:r>
        <w:rPr>
          <w:rFonts w:ascii="Arial" w:hAnsi="Arial"/>
          <w:b w:val="0"/>
          <w:i w:val="0"/>
          <w:sz w:val="19"/>
        </w:rPr>
        <w:t>.</w:t>
      </w:r>
    </w:p>
    <w:p>
      <w:pPr>
        <w:spacing w:before="280" w:after="80"/>
      </w:pPr>
      <w:r>
        <w:rPr>
          <w:rFonts w:ascii="Arial" w:hAnsi="Arial"/>
          <w:b/>
          <w:sz w:val="25"/>
        </w:rPr>
        <w:t>1. Introduction</w:t>
      </w:r>
    </w:p>
    <w:p>
      <w:pPr>
        <w:spacing w:after="100"/>
      </w:pPr>
      <w:r>
        <w:rPr>
          <w:rFonts w:ascii="Arial" w:hAnsi="Arial"/>
          <w:b w:val="0"/>
          <w:i w:val="0"/>
          <w:sz w:val="20"/>
        </w:rP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markedly accelerates primary and secondary nucleation of cross-β amyloid fibrils, promoting an aberrant liquid-to-solid phase transition associated with neurodegenerative tauopathies [5,6,18,19,30].</w:t>
      </w:r>
    </w:p>
    <w:p>
      <w:pPr>
        <w:spacing w:after="100"/>
      </w:pPr>
      <w:r>
        <w:rPr>
          <w:rFonts w:ascii="Arial" w:hAnsi="Arial"/>
          <w:b w:val="0"/>
          <w:i w:val="0"/>
          <w:sz w:val="20"/>
        </w:rP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(Ti₃C₂Tₓ MXenes) [9,28,29], provide versatile platforms with high specific surface area, tunable surface chemistry, and strong dispersion and electrostatic interactions with peptide motifs [12,29].</w:t>
      </w:r>
    </w:p>
    <w:p>
      <w:pPr>
        <w:spacing w:after="100"/>
      </w:pPr>
      <w:r>
        <w:rPr>
          <w:rFonts w:ascii="Arial" w:hAnsi="Arial"/>
          <w:b w:val="0"/>
          <w:i w:val="0"/>
          <w:sz w:val="20"/>
        </w:rPr>
        <w:t>Despite intense interest in nanomaterial-biomolecule interactions, a predictive physical theory describing how 2D interfaces modulate the coexistence boundaries, wetting angles, and amyloid nucleation kinetics of protein condensates remains lacking. In this study, we formulate a statistical-thermodynamic and kinetic framework in which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rPr>
          <w:rFonts w:ascii="Arial" w:hAnsi="Arial"/>
          <w:b w:val="0"/>
          <w:i w:val="0"/>
          <w:sz w:val="20"/>
        </w:rPr>
        <w:t>Figure 1a presents the model-calculated temperature-composition phase diagram for bulk Tau K18. The empirical phase behavior of Tau K18 is characterized by a Lower Critical Solution Temperature (LCST), driven by the hydrophobic desolvation entropy of the repeat-domain hexapeptide motifs (VQIINK in R2 and VQIVYK in R3) [5]. The FH-VO model, with critical parameters solved numerically from the full free energy functional (f''(φ</w:t>
      </w:r>
      <w:r>
        <w:rPr>
          <w:rFonts w:ascii="Arial" w:hAnsi="Arial"/>
          <w:b w:val="0"/>
          <w:i w:val="0"/>
          <w:sz w:val="20"/>
          <w:vertAlign w:val="subscript"/>
        </w:rPr>
        <w:t>c</w:t>
      </w:r>
      <w:r>
        <w:rPr>
          <w:rFonts w:ascii="Arial" w:hAnsi="Arial"/>
          <w:b w:val="0"/>
          <w:i w:val="0"/>
          <w:sz w:val="20"/>
        </w:rPr>
        <w:t>) = 0 and f'''(φ</w:t>
      </w:r>
      <w:r>
        <w:rPr>
          <w:rFonts w:ascii="Arial" w:hAnsi="Arial"/>
          <w:b w:val="0"/>
          <w:i w:val="0"/>
          <w:sz w:val="20"/>
          <w:vertAlign w:val="subscript"/>
        </w:rPr>
        <w:t>c</w:t>
      </w:r>
      <w:r>
        <w:rPr>
          <w:rFonts w:ascii="Arial" w:hAnsi="Arial"/>
          <w:b w:val="0"/>
          <w:i w:val="0"/>
          <w:sz w:val="20"/>
        </w:rPr>
        <w:t>) = 0, yielding φ</w:t>
      </w:r>
      <w:r>
        <w:rPr>
          <w:rFonts w:ascii="Arial" w:hAnsi="Arial"/>
          <w:b w:val="0"/>
          <w:i w:val="0"/>
          <w:sz w:val="20"/>
          <w:vertAlign w:val="subscript"/>
        </w:rPr>
        <w:t>c</w:t>
      </w:r>
      <w:r>
        <w:rPr>
          <w:rFonts w:ascii="Arial" w:hAnsi="Arial"/>
          <w:b w:val="0"/>
          <w:i w:val="0"/>
          <w:sz w:val="20"/>
        </w:rPr>
        <w:t xml:space="preserve"> = 0.247, χ</w:t>
      </w:r>
      <w:r>
        <w:rPr>
          <w:rFonts w:ascii="Arial" w:hAnsi="Arial"/>
          <w:b w:val="0"/>
          <w:i w:val="0"/>
          <w:sz w:val="20"/>
          <w:vertAlign w:val="subscript"/>
        </w:rPr>
        <w:t>c</w:t>
      </w:r>
      <w:r>
        <w:rPr>
          <w:rFonts w:ascii="Arial" w:hAnsi="Arial"/>
          <w:b w:val="0"/>
          <w:i w:val="0"/>
          <w:sz w:val="20"/>
        </w:rPr>
        <w:t xml:space="preserve"> = 0.872), is parameterized with critical temperature T</w:t>
      </w:r>
      <w:r>
        <w:rPr>
          <w:rFonts w:ascii="Arial" w:hAnsi="Arial"/>
          <w:b w:val="0"/>
          <w:i w:val="0"/>
          <w:sz w:val="20"/>
          <w:vertAlign w:val="subscript"/>
        </w:rPr>
        <w:t>c</w:t>
      </w:r>
      <w:r>
        <w:rPr>
          <w:rFonts w:ascii="Arial" w:hAnsi="Arial"/>
          <w:b w:val="0"/>
          <w:i w:val="0"/>
          <w:sz w:val="20"/>
        </w:rPr>
        <w:t xml:space="preserve"> = 8.5 °C (281.65 K) and thermal slope β = 0.0090 K⁻¹. Under this parameterization, the theoretical cloud point for nominal 100 µM Tau K18 (order parameter φ̃</w:t>
      </w:r>
      <w:r>
        <w:rPr>
          <w:rFonts w:ascii="Arial" w:hAnsi="Arial"/>
          <w:b w:val="0"/>
          <w:i w:val="0"/>
          <w:sz w:val="20"/>
          <w:vertAlign w:val="subscript"/>
        </w:rPr>
        <w:t>total</w:t>
      </w:r>
      <w:r>
        <w:rPr>
          <w:rFonts w:ascii="Arial" w:hAnsi="Arial"/>
          <w:b w:val="0"/>
          <w:i w:val="0"/>
          <w:sz w:val="20"/>
        </w:rPr>
        <w:t xml:space="preserve"> = 0.095) evaluates to T</w:t>
      </w:r>
      <w:r>
        <w:rPr>
          <w:rFonts w:ascii="Arial" w:hAnsi="Arial"/>
          <w:b w:val="0"/>
          <w:i w:val="0"/>
          <w:sz w:val="20"/>
          <w:vertAlign w:val="subscript"/>
        </w:rPr>
        <w:t>cloud</w:t>
      </w:r>
      <w:r>
        <w:rPr>
          <w:rFonts w:ascii="Arial" w:hAnsi="Arial"/>
          <w:b w:val="0"/>
          <w:i w:val="0"/>
          <w:sz w:val="20"/>
        </w:rPr>
        <w:t xml:space="preserve"> = 15.3 °C by Brent's method, consistent with the ~15 °C turbidity onset reported in Figure 2b of Ambadipudi et al. (Fig. 1a, inset) [5]. At physiological temperature (37 °C), the bulk system coexists between a dilute monomer pool (φ̃</w:t>
      </w:r>
      <w:r>
        <w:rPr>
          <w:rFonts w:ascii="Arial" w:hAnsi="Arial"/>
          <w:b w:val="0"/>
          <w:i w:val="0"/>
          <w:sz w:val="20"/>
          <w:vertAlign w:val="subscript"/>
        </w:rPr>
        <w:t>dilute</w:t>
      </w:r>
      <w:r>
        <w:rPr>
          <w:rFonts w:ascii="Arial" w:hAnsi="Arial"/>
          <w:b w:val="0"/>
          <w:i w:val="0"/>
          <w:sz w:val="20"/>
        </w:rPr>
        <w:t xml:space="preserve"> = 0.026, corresponding to c</w:t>
      </w:r>
      <w:r>
        <w:rPr>
          <w:rFonts w:ascii="Arial" w:hAnsi="Arial"/>
          <w:b w:val="0"/>
          <w:i w:val="0"/>
          <w:sz w:val="20"/>
          <w:vertAlign w:val="subscript"/>
        </w:rPr>
        <w:t>dilute</w:t>
      </w:r>
      <w:r>
        <w:rPr>
          <w:rFonts w:ascii="Arial" w:hAnsi="Arial"/>
          <w:b w:val="0"/>
          <w:i w:val="0"/>
          <w:sz w:val="20"/>
        </w:rPr>
        <w:t xml:space="preserve"> ≈ 27.4 µM) and dense condensate droplets (φ̃</w:t>
      </w:r>
      <w:r>
        <w:rPr>
          <w:rFonts w:ascii="Arial" w:hAnsi="Arial"/>
          <w:b w:val="0"/>
          <w:i w:val="0"/>
          <w:sz w:val="20"/>
          <w:vertAlign w:val="subscript"/>
        </w:rPr>
        <w:t>dense</w:t>
      </w:r>
      <w:r>
        <w:rPr>
          <w:rFonts w:ascii="Arial" w:hAnsi="Arial"/>
          <w:b w:val="0"/>
          <w:i w:val="0"/>
          <w:sz w:val="20"/>
        </w:rPr>
        <w:t xml:space="preserve"> = 0.670, corresponding to c</w:t>
      </w:r>
      <w:r>
        <w:rPr>
          <w:rFonts w:ascii="Arial" w:hAnsi="Arial"/>
          <w:b w:val="0"/>
          <w:i w:val="0"/>
          <w:sz w:val="20"/>
          <w:vertAlign w:val="subscript"/>
        </w:rPr>
        <w:t>dense</w:t>
      </w:r>
      <w:r>
        <w:rPr>
          <w:rFonts w:ascii="Arial" w:hAnsi="Arial"/>
          <w:b w:val="0"/>
          <w:i w:val="0"/>
          <w:sz w:val="20"/>
        </w:rPr>
        <w:t xml:space="preserve"> ≈ 705 µM).</w:t>
      </w:r>
    </w:p>
    <w:p>
      <w:pPr>
        <w:spacing w:after="100"/>
      </w:pPr>
      <w:r>
        <w:rPr>
          <w:rFonts w:ascii="Arial" w:hAnsi="Arial"/>
          <w:b w:val="0"/>
          <w:i w:val="0"/>
          <w:sz w:val="20"/>
        </w:rPr>
        <w:t>Figure 1b illustrates the physical mechanism of LLPS modulation upon introducing 2D nanomaterial interfaces. The fundamental governing coordinate of the theoretical framework is the interfacial area density a</w:t>
      </w:r>
      <w:r>
        <w:rPr>
          <w:rFonts w:ascii="Arial" w:hAnsi="Arial"/>
          <w:b w:val="0"/>
          <w:i w:val="0"/>
          <w:sz w:val="20"/>
          <w:vertAlign w:val="subscript"/>
        </w:rPr>
        <w:t>s</w:t>
      </w:r>
      <w:r>
        <w:rPr>
          <w:rFonts w:ascii="Arial" w:hAnsi="Arial"/>
          <w:b w:val="0"/>
          <w:i w:val="0"/>
          <w:sz w:val="20"/>
        </w:rPr>
        <w:t>. Because the intrinsic Flory interaction parameter is independent of nanosheet loading (∂χ/∂a</w:t>
      </w:r>
      <w:r>
        <w:rPr>
          <w:rFonts w:ascii="Arial" w:hAnsi="Arial"/>
          <w:b w:val="0"/>
          <w:i w:val="0"/>
          <w:sz w:val="20"/>
          <w:vertAlign w:val="subscript"/>
        </w:rPr>
        <w:t>s</w:t>
      </w:r>
      <w:r>
        <w:rPr>
          <w:rFonts w:ascii="Arial" w:hAnsi="Arial"/>
          <w:b w:val="0"/>
          <w:i w:val="0"/>
          <w:sz w:val="20"/>
        </w:rPr>
        <w:t xml:space="preserve"> = 0), the bulk binodal boundary remains unchanged. Instead, Langmuir adsorption equilibrium governed by standard thermodynamic activity (a = c / c°) sequesters free monomers according to the dimensionless mass balance φ̃</w:t>
      </w:r>
      <w:r>
        <w:rPr>
          <w:rFonts w:ascii="Arial" w:hAnsi="Arial"/>
          <w:b w:val="0"/>
          <w:i w:val="0"/>
          <w:sz w:val="20"/>
          <w:vertAlign w:val="subscript"/>
        </w:rPr>
        <w:t>total</w:t>
      </w:r>
      <w:r>
        <w:rPr>
          <w:rFonts w:ascii="Arial" w:hAnsi="Arial"/>
          <w:b w:val="0"/>
          <w:i w:val="0"/>
          <w:sz w:val="20"/>
        </w:rPr>
        <w:t xml:space="preserve"> = φ̃</w:t>
      </w:r>
      <w:r>
        <w:rPr>
          <w:rFonts w:ascii="Arial" w:hAnsi="Arial"/>
          <w:b w:val="0"/>
          <w:i w:val="0"/>
          <w:sz w:val="20"/>
          <w:vertAlign w:val="subscript"/>
        </w:rPr>
        <w:t>free</w:t>
      </w:r>
      <w:r>
        <w:rPr>
          <w:rFonts w:ascii="Arial" w:hAnsi="Arial"/>
          <w:b w:val="0"/>
          <w:i w:val="0"/>
          <w:sz w:val="20"/>
        </w:rPr>
        <w:t xml:space="preserve"> + m̃</w:t>
      </w:r>
      <w:r>
        <w:rPr>
          <w:rFonts w:ascii="Arial" w:hAnsi="Arial"/>
          <w:b w:val="0"/>
          <w:i w:val="0"/>
          <w:sz w:val="20"/>
          <w:vertAlign w:val="subscript"/>
        </w:rPr>
        <w:t>max</w:t>
      </w:r>
      <w:r>
        <w:rPr>
          <w:rFonts w:ascii="Arial" w:hAnsi="Arial"/>
          <w:b w:val="0"/>
          <w:i w:val="0"/>
          <w:sz w:val="20"/>
        </w:rPr>
        <w:t xml:space="preserve"> θ</w:t>
      </w:r>
      <w:r>
        <w:rPr>
          <w:rFonts w:ascii="Arial" w:hAnsi="Arial"/>
          <w:b w:val="0"/>
          <w:i w:val="0"/>
          <w:sz w:val="20"/>
          <w:vertAlign w:val="subscript"/>
        </w:rPr>
        <w:t>ads</w:t>
      </w:r>
      <w:r>
        <w:rPr>
          <w:rFonts w:ascii="Arial" w:hAnsi="Arial"/>
          <w:b w:val="0"/>
          <w:i w:val="0"/>
          <w:sz w:val="20"/>
        </w:rPr>
        <w:t>, where m̃</w:t>
      </w:r>
      <w:r>
        <w:rPr>
          <w:rFonts w:ascii="Arial" w:hAnsi="Arial"/>
          <w:b w:val="0"/>
          <w:i w:val="0"/>
          <w:sz w:val="20"/>
          <w:vertAlign w:val="subscript"/>
        </w:rPr>
        <w:t>max</w:t>
      </w:r>
      <w:r>
        <w:rPr>
          <w:rFonts w:ascii="Arial" w:hAnsi="Arial"/>
          <w:b w:val="0"/>
          <w:i w:val="0"/>
          <w:sz w:val="20"/>
        </w:rPr>
        <w:t xml:space="preserve"> = s</w:t>
      </w:r>
      <w:r>
        <w:rPr>
          <w:rFonts w:ascii="Arial" w:hAnsi="Arial"/>
          <w:b w:val="0"/>
          <w:i w:val="0"/>
          <w:sz w:val="20"/>
          <w:vertAlign w:val="subscript"/>
        </w:rPr>
        <w:t>φ</w:t>
      </w:r>
      <w:r>
        <w:rPr>
          <w:rFonts w:ascii="Arial" w:hAnsi="Arial"/>
          <w:b w:val="0"/>
          <w:i w:val="0"/>
          <w:sz w:val="20"/>
        </w:rPr>
        <w:t xml:space="preserve"> (a</w:t>
      </w:r>
      <w:r>
        <w:rPr>
          <w:rFonts w:ascii="Arial" w:hAnsi="Arial"/>
          <w:b w:val="0"/>
          <w:i w:val="0"/>
          <w:sz w:val="20"/>
          <w:vertAlign w:val="subscript"/>
        </w:rPr>
        <w:t>s</w:t>
      </w:r>
      <w:r>
        <w:rPr>
          <w:rFonts w:ascii="Arial" w:hAnsi="Arial"/>
          <w:b w:val="0"/>
          <w:i w:val="0"/>
          <w:sz w:val="20"/>
        </w:rPr>
        <w:t xml:space="preserve"> Γ</w:t>
      </w:r>
      <w:r>
        <w:rPr>
          <w:rFonts w:ascii="Arial" w:hAnsi="Arial"/>
          <w:b w:val="0"/>
          <w:i w:val="0"/>
          <w:sz w:val="20"/>
          <w:vertAlign w:val="subscript"/>
        </w:rPr>
        <w:t>max</w:t>
      </w:r>
      <w:r>
        <w:rPr>
          <w:rFonts w:ascii="Arial" w:hAnsi="Arial"/>
          <w:b w:val="0"/>
          <w:i w:val="0"/>
          <w:sz w:val="20"/>
        </w:rPr>
        <w:t xml:space="preserve"> 10³⁰ / N</w:t>
      </w:r>
      <w:r>
        <w:rPr>
          <w:rFonts w:ascii="Arial" w:hAnsi="Arial"/>
          <w:b w:val="0"/>
          <w:i w:val="0"/>
          <w:sz w:val="20"/>
          <w:vertAlign w:val="subscript"/>
        </w:rPr>
        <w:t>A</w:t>
      </w:r>
      <w:r>
        <w:rPr>
          <w:rFonts w:ascii="Arial" w:hAnsi="Arial"/>
          <w:b w:val="0"/>
          <w:i w:val="0"/>
          <w:sz w:val="20"/>
        </w:rPr>
        <w:t>) represents the surface capacity expressed on the identical order-parameter scale. For the literature-informed borophene-like scenario (Scenario 1, ΔG</w:t>
      </w:r>
      <w:r>
        <w:rPr>
          <w:rFonts w:ascii="Arial" w:hAnsi="Arial"/>
          <w:b w:val="0"/>
          <w:i w:val="0"/>
          <w:sz w:val="20"/>
          <w:vertAlign w:val="subscript"/>
        </w:rPr>
        <w:t>ads</w:t>
      </w:r>
      <w:r>
        <w:rPr>
          <w:rFonts w:ascii="Arial" w:hAnsi="Arial"/>
          <w:b w:val="0"/>
          <w:i w:val="0"/>
          <w:sz w:val="20"/>
        </w:rPr>
        <w:t xml:space="preserve"> = -7.8 kcal/mol) at a</w:t>
      </w:r>
      <w:r>
        <w:rPr>
          <w:rFonts w:ascii="Arial" w:hAnsi="Arial"/>
          <w:b w:val="0"/>
          <w:i w:val="0"/>
          <w:sz w:val="20"/>
          <w:vertAlign w:val="subscript"/>
        </w:rPr>
        <w:t>s</w:t>
      </w:r>
      <w:r>
        <w:rPr>
          <w:rFonts w:ascii="Arial" w:hAnsi="Arial"/>
          <w:b w:val="0"/>
          <w:i w:val="0"/>
          <w:sz w:val="20"/>
        </w:rPr>
        <w:t xml:space="preserve"> = 1.0×10⁻⁴ nm⁻¹ (which corresponds to C</w:t>
      </w:r>
      <w:r>
        <w:rPr>
          <w:rFonts w:ascii="Arial" w:hAnsi="Arial"/>
          <w:b w:val="0"/>
          <w:i w:val="0"/>
          <w:sz w:val="20"/>
          <w:vertAlign w:val="subscript"/>
        </w:rPr>
        <w:t>nano</w:t>
      </w:r>
      <w:r>
        <w:rPr>
          <w:rFonts w:ascii="Arial" w:hAnsi="Arial"/>
          <w:b w:val="0"/>
          <w:i w:val="0"/>
          <w:sz w:val="20"/>
        </w:rPr>
        <w:t xml:space="preserve"> = 100 µg/mL only under an illustrative reference conversion assuming an idealized monolayer-accessible specific surface area SSA = 1000 m²/g), the free monomer concentration drops by nearly 60% to c</w:t>
      </w:r>
      <w:r>
        <w:rPr>
          <w:rFonts w:ascii="Arial" w:hAnsi="Arial"/>
          <w:b w:val="0"/>
          <w:i w:val="0"/>
          <w:sz w:val="20"/>
          <w:vertAlign w:val="subscript"/>
        </w:rPr>
        <w:t>free</w:t>
      </w:r>
      <w:r>
        <w:rPr>
          <w:rFonts w:ascii="Arial" w:hAnsi="Arial"/>
          <w:b w:val="0"/>
          <w:i w:val="0"/>
          <w:sz w:val="20"/>
        </w:rPr>
        <w:t xml:space="preserve"> ≈ 41.4 µM, shifting the apparent cloud point to 29.4 °C and dissolving the condensate below that temperature. In contrast, the Ti₃C₂Tₓ MXene-like scenario (Scenario 2, ΔG</w:t>
      </w:r>
      <w:r>
        <w:rPr>
          <w:rFonts w:ascii="Arial" w:hAnsi="Arial"/>
          <w:b w:val="0"/>
          <w:i w:val="0"/>
          <w:sz w:val="20"/>
          <w:vertAlign w:val="subscript"/>
        </w:rPr>
        <w:t>ads</w:t>
      </w:r>
      <w:r>
        <w:rPr>
          <w:rFonts w:ascii="Arial" w:hAnsi="Arial"/>
          <w:b w:val="0"/>
          <w:i w:val="0"/>
          <w:sz w:val="20"/>
        </w:rPr>
        <w:t xml:space="preserve"> = -5.2 kcal/mol), exhibiting weaker adsorption affinity, produces only partial depletion (c</w:t>
      </w:r>
      <w:r>
        <w:rPr>
          <w:rFonts w:ascii="Arial" w:hAnsi="Arial"/>
          <w:b w:val="0"/>
          <w:i w:val="0"/>
          <w:sz w:val="20"/>
          <w:vertAlign w:val="subscript"/>
        </w:rPr>
        <w:t>free</w:t>
      </w:r>
      <w:r>
        <w:rPr>
          <w:rFonts w:ascii="Arial" w:hAnsi="Arial"/>
          <w:b w:val="0"/>
          <w:i w:val="0"/>
          <w:sz w:val="20"/>
        </w:rPr>
        <w:t xml:space="preserve"> ≈ 87.6 µM at a</w:t>
      </w:r>
      <w:r>
        <w:rPr>
          <w:rFonts w:ascii="Arial" w:hAnsi="Arial"/>
          <w:b w:val="0"/>
          <w:i w:val="0"/>
          <w:sz w:val="20"/>
          <w:vertAlign w:val="subscript"/>
        </w:rPr>
        <w:t>s</w:t>
      </w:r>
      <w:r>
        <w:rPr>
          <w:rFonts w:ascii="Arial" w:hAnsi="Arial"/>
          <w:b w:val="0"/>
          <w:i w:val="0"/>
          <w:sz w:val="20"/>
        </w:rPr>
        <w:t xml:space="preserve"> = 1.0×10⁻⁴ nm⁻¹), leaving droplets stable across this area-density range at 37 °C. Notably, for multilayered nanomaterials subject to restacking with lower accessible BET surface areas (10–100 m²/g), equivalent a</w:t>
      </w:r>
      <w:r>
        <w:rPr>
          <w:rFonts w:ascii="Arial" w:hAnsi="Arial"/>
          <w:b w:val="0"/>
          <w:i w:val="0"/>
          <w:sz w:val="20"/>
          <w:vertAlign w:val="subscript"/>
        </w:rPr>
        <w:t>s</w:t>
      </w:r>
      <w:r>
        <w:rPr>
          <w:rFonts w:ascii="Arial" w:hAnsi="Arial"/>
          <w:b w:val="0"/>
          <w:i w:val="0"/>
          <w:sz w:val="20"/>
        </w:rPr>
        <w:t xml:space="preserve">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rFonts w:ascii="Arial" w:hAnsi="Arial"/>
          <w:b w:val="0"/>
          <w:i w:val="0"/>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w:t>
      </w:r>
      <w:r>
        <w:rPr>
          <w:rFonts w:ascii="Arial" w:hAnsi="Arial"/>
          <w:b w:val="0"/>
          <w:i w:val="0"/>
          <w:sz w:val="17"/>
          <w:vertAlign w:val="subscript"/>
        </w:rPr>
        <w:t>free</w:t>
      </w:r>
      <w:r>
        <w:rPr>
          <w:rFonts w:ascii="Arial" w:hAnsi="Arial"/>
          <w:b w:val="0"/>
          <w:i w:val="0"/>
          <w:sz w:val="17"/>
        </w:rPr>
        <w:t xml:space="preserve"> as a function of interfacial area density a</w:t>
      </w:r>
      <w:r>
        <w:rPr>
          <w:rFonts w:ascii="Arial" w:hAnsi="Arial"/>
          <w:b w:val="0"/>
          <w:i w:val="0"/>
          <w:sz w:val="17"/>
          <w:vertAlign w:val="subscript"/>
        </w:rPr>
        <w:t>s</w:t>
      </w:r>
      <w:r>
        <w:rPr>
          <w:rFonts w:ascii="Arial" w:hAnsi="Arial"/>
          <w:b w:val="0"/>
          <w:i w:val="0"/>
          <w:sz w:val="17"/>
        </w:rPr>
        <w:t xml:space="preserve"> (with top axis showing illustrative reference loading C</w:t>
      </w:r>
      <w:r>
        <w:rPr>
          <w:rFonts w:ascii="Arial" w:hAnsi="Arial"/>
          <w:b w:val="0"/>
          <w:i w:val="0"/>
          <w:sz w:val="17"/>
          <w:vertAlign w:val="subscript"/>
        </w:rPr>
        <w:t>nano</w:t>
      </w:r>
      <w:r>
        <w:rPr>
          <w:rFonts w:ascii="Arial" w:hAnsi="Arial"/>
          <w:b w:val="0"/>
          <w:i w:val="0"/>
          <w:sz w:val="17"/>
        </w:rPr>
        <w:t xml:space="preserve">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rPr>
          <w:rFonts w:ascii="Arial" w:hAnsi="Arial"/>
          <w:b w:val="0"/>
          <w:i w:val="0"/>
          <w:sz w:val="20"/>
        </w:rPr>
        <w:t>Figure 2a displays the phase density contrast Δφ̃ = φ̃</w:t>
      </w:r>
      <w:r>
        <w:rPr>
          <w:rFonts w:ascii="Arial" w:hAnsi="Arial"/>
          <w:b w:val="0"/>
          <w:i w:val="0"/>
          <w:sz w:val="20"/>
          <w:vertAlign w:val="subscript"/>
        </w:rPr>
        <w:t>dense</w:t>
      </w:r>
      <w:r>
        <w:rPr>
          <w:rFonts w:ascii="Arial" w:hAnsi="Arial"/>
          <w:b w:val="0"/>
          <w:i w:val="0"/>
          <w:sz w:val="20"/>
        </w:rPr>
        <w:t xml:space="preserve"> - φ̃</w:t>
      </w:r>
      <w:r>
        <w:rPr>
          <w:rFonts w:ascii="Arial" w:hAnsi="Arial"/>
          <w:b w:val="0"/>
          <w:i w:val="0"/>
          <w:sz w:val="20"/>
          <w:vertAlign w:val="subscript"/>
        </w:rPr>
        <w:t>dilute</w:t>
      </w:r>
      <w:r>
        <w:rPr>
          <w:rFonts w:ascii="Arial" w:hAnsi="Arial"/>
          <w:b w:val="0"/>
          <w:i w:val="0"/>
          <w:sz w:val="20"/>
        </w:rPr>
        <w:t xml:space="preserve"> across ionic strength [NaCl] (50–450 mM) and temperature (15–50 °C). Electrostatic screening follows Voorn-Overbeek / Debye-Hückel scaling (-α</w:t>
      </w:r>
      <w:r>
        <w:rPr>
          <w:rFonts w:ascii="Arial" w:hAnsi="Arial"/>
          <w:b w:val="0"/>
          <w:i w:val="0"/>
          <w:sz w:val="20"/>
          <w:vertAlign w:val="subscript"/>
        </w:rPr>
        <w:t>DH</w:t>
      </w:r>
      <w:r>
        <w:rPr>
          <w:rFonts w:ascii="Arial" w:hAnsi="Arial"/>
          <w:b w:val="0"/>
          <w:i w:val="0"/>
          <w:sz w:val="20"/>
        </w:rPr>
        <w:t xml:space="preserve"> (I/I</w:t>
      </w:r>
      <w:r>
        <w:rPr>
          <w:rFonts w:ascii="Arial" w:hAnsi="Arial"/>
          <w:b w:val="0"/>
          <w:i w:val="0"/>
          <w:sz w:val="20"/>
          <w:vertAlign w:val="subscript"/>
        </w:rPr>
        <w:t>0</w:t>
      </w:r>
      <w:r>
        <w:rPr>
          <w:rFonts w:ascii="Arial" w:hAnsi="Arial"/>
          <w:b w:val="0"/>
          <w:i w:val="0"/>
          <w:sz w:val="20"/>
        </w:rPr>
        <w:t>)</w:t>
      </w:r>
      <w:r>
        <w:rPr>
          <w:rFonts w:ascii="Arial" w:hAnsi="Arial"/>
          <w:b w:val="0"/>
          <w:i w:val="0"/>
          <w:sz w:val="20"/>
          <w:vertAlign w:val="superscript"/>
        </w:rPr>
        <w:t>3/2</w:t>
      </w:r>
      <w:r>
        <w:rPr>
          <w:rFonts w:ascii="Arial" w:hAnsi="Arial"/>
          <w:b w:val="0"/>
          <w:i w:val="0"/>
          <w:sz w:val="20"/>
        </w:rPr>
        <w:t>) [11,23]: moderate ionic strength preserves condensate stability, whereas elevated salt screens the electrostatic contribution and narrows the two-phase coexistence gap.</w:t>
      </w:r>
    </w:p>
    <w:p>
      <w:pPr>
        <w:spacing w:after="100"/>
      </w:pPr>
      <w:r>
        <w:rPr>
          <w:rFonts w:ascii="Arial" w:hAnsi="Arial"/>
          <w:b w:val="0"/>
          <w:i w:val="0"/>
          <w:sz w:val="20"/>
        </w:rPr>
        <w:t>Figure 2b maps the Cahn-Hilliard wetting contact angle θ</w:t>
      </w:r>
      <w:r>
        <w:rPr>
          <w:rFonts w:ascii="Arial" w:hAnsi="Arial"/>
          <w:b w:val="0"/>
          <w:i w:val="0"/>
          <w:sz w:val="20"/>
          <w:vertAlign w:val="subscript"/>
        </w:rPr>
        <w:t>c</w:t>
      </w:r>
      <w:r>
        <w:rPr>
          <w:rFonts w:ascii="Arial" w:hAnsi="Arial"/>
          <w:b w:val="0"/>
          <w:i w:val="0"/>
          <w:sz w:val="20"/>
        </w:rPr>
        <w:t xml:space="preserve"> derived from Young's equation across surface energy excess Δγ</w:t>
      </w:r>
      <w:r>
        <w:rPr>
          <w:rFonts w:ascii="Arial" w:hAnsi="Arial"/>
          <w:b w:val="0"/>
          <w:i w:val="0"/>
          <w:sz w:val="20"/>
          <w:vertAlign w:val="subscript"/>
        </w:rPr>
        <w:t>s</w:t>
      </w:r>
      <w:r>
        <w:rPr>
          <w:rFonts w:ascii="Arial" w:hAnsi="Arial"/>
          <w:b w:val="0"/>
          <w:i w:val="0"/>
          <w:sz w:val="20"/>
        </w:rPr>
        <w:t xml:space="preserve"> and temperature. The liquid-liquid interfacial tension evaluates to γ</w:t>
      </w:r>
      <w:r>
        <w:rPr>
          <w:rFonts w:ascii="Arial" w:hAnsi="Arial"/>
          <w:b w:val="0"/>
          <w:i w:val="0"/>
          <w:sz w:val="20"/>
          <w:vertAlign w:val="subscript"/>
        </w:rPr>
        <w:t>LL</w:t>
      </w:r>
      <w:r>
        <w:rPr>
          <w:rFonts w:ascii="Arial" w:hAnsi="Arial"/>
          <w:b w:val="0"/>
          <w:i w:val="0"/>
          <w:sz w:val="20"/>
        </w:rPr>
        <w:t xml:space="preserve"> = 1.601 µN/m at 37 °C under the unified energy-density scale f</w:t>
      </w:r>
      <w:r>
        <w:rPr>
          <w:rFonts w:ascii="Arial" w:hAnsi="Arial"/>
          <w:b w:val="0"/>
          <w:i w:val="0"/>
          <w:sz w:val="20"/>
          <w:vertAlign w:val="subscript"/>
        </w:rPr>
        <w:t>0</w:t>
      </w:r>
      <w:r>
        <w:rPr>
          <w:rFonts w:ascii="Arial" w:hAnsi="Arial"/>
          <w:b w:val="0"/>
          <w:i w:val="0"/>
          <w:sz w:val="20"/>
        </w:rPr>
        <w:t xml:space="preserve"> = 1.50×10⁴ J/m³ (v</w:t>
      </w:r>
      <w:r>
        <w:rPr>
          <w:rFonts w:ascii="Arial" w:hAnsi="Arial"/>
          <w:b w:val="0"/>
          <w:i w:val="0"/>
          <w:sz w:val="20"/>
          <w:vertAlign w:val="subscript"/>
        </w:rPr>
        <w:t>ref</w:t>
      </w:r>
      <w:r>
        <w:rPr>
          <w:rFonts w:ascii="Arial" w:hAnsi="Arial"/>
          <w:b w:val="0"/>
          <w:i w:val="0"/>
          <w:sz w:val="20"/>
        </w:rPr>
        <w:t xml:space="preserve"> = 2.85×10⁻²⁵ m³). For the stabilized borophene-like scenario, the solid-liquid surface energy excess evaluates to Δγ</w:t>
      </w:r>
      <w:r>
        <w:rPr>
          <w:rFonts w:ascii="Arial" w:hAnsi="Arial"/>
          <w:b w:val="0"/>
          <w:i w:val="0"/>
          <w:sz w:val="20"/>
          <w:vertAlign w:val="subscript"/>
        </w:rPr>
        <w:t>s</w:t>
      </w:r>
      <w:r>
        <w:rPr>
          <w:rFonts w:ascii="Arial" w:hAnsi="Arial"/>
          <w:b w:val="0"/>
          <w:i w:val="0"/>
          <w:sz w:val="20"/>
        </w:rPr>
        <w:t xml:space="preserve"> = 1.023 µN/m (derived directly from the Langmuir surface grand potential with η</w:t>
      </w:r>
      <w:r>
        <w:rPr>
          <w:rFonts w:ascii="Arial" w:hAnsi="Arial"/>
          <w:b w:val="0"/>
          <w:i w:val="0"/>
          <w:sz w:val="20"/>
          <w:vertAlign w:val="subscript"/>
        </w:rPr>
        <w:t>eff</w:t>
      </w:r>
      <w:r>
        <w:rPr>
          <w:rFonts w:ascii="Arial" w:hAnsi="Arial"/>
          <w:b w:val="0"/>
          <w:i w:val="0"/>
          <w:sz w:val="20"/>
        </w:rPr>
        <w:t xml:space="preserve"> = 0.20×10⁻³ and standard activity a = c/c°), yielding cos(θ</w:t>
      </w:r>
      <w:r>
        <w:rPr>
          <w:rFonts w:ascii="Arial" w:hAnsi="Arial"/>
          <w:b w:val="0"/>
          <w:i w:val="0"/>
          <w:sz w:val="20"/>
          <w:vertAlign w:val="subscript"/>
        </w:rPr>
        <w:t>c</w:t>
      </w:r>
      <w:r>
        <w:rPr>
          <w:rFonts w:ascii="Arial" w:hAnsi="Arial"/>
          <w:b w:val="0"/>
          <w:i w:val="0"/>
          <w:sz w:val="20"/>
        </w:rPr>
        <w:t>) = 1.023 / 1.601 = 0.639 and θ</w:t>
      </w:r>
      <w:r>
        <w:rPr>
          <w:rFonts w:ascii="Arial" w:hAnsi="Arial"/>
          <w:b w:val="0"/>
          <w:i w:val="0"/>
          <w:sz w:val="20"/>
          <w:vertAlign w:val="subscript"/>
        </w:rPr>
        <w:t>c</w:t>
      </w:r>
      <w:r>
        <w:rPr>
          <w:rFonts w:ascii="Arial" w:hAnsi="Arial"/>
          <w:b w:val="0"/>
          <w:i w:val="0"/>
          <w:sz w:val="20"/>
        </w:rPr>
        <w:t xml:space="preserve"> = 50.3° at 37 °C. For the Ti₃C₂Tₓ MXene-like scenario, Δγ</w:t>
      </w:r>
      <w:r>
        <w:rPr>
          <w:rFonts w:ascii="Arial" w:hAnsi="Arial"/>
          <w:b w:val="0"/>
          <w:i w:val="0"/>
          <w:sz w:val="20"/>
          <w:vertAlign w:val="subscript"/>
        </w:rPr>
        <w:t>s</w:t>
      </w:r>
      <w:r>
        <w:rPr>
          <w:rFonts w:ascii="Arial" w:hAnsi="Arial"/>
          <w:b w:val="0"/>
          <w:i w:val="0"/>
          <w:sz w:val="20"/>
        </w:rPr>
        <w:t xml:space="preserve"> = 0.296 µN/m yields cos(θ</w:t>
      </w:r>
      <w:r>
        <w:rPr>
          <w:rFonts w:ascii="Arial" w:hAnsi="Arial"/>
          <w:b w:val="0"/>
          <w:i w:val="0"/>
          <w:sz w:val="20"/>
          <w:vertAlign w:val="subscript"/>
        </w:rPr>
        <w:t>c</w:t>
      </w:r>
      <w:r>
        <w:rPr>
          <w:rFonts w:ascii="Arial" w:hAnsi="Arial"/>
          <w:b w:val="0"/>
          <w:i w:val="0"/>
          <w:sz w:val="20"/>
        </w:rPr>
        <w:t>) = 0.296 / 1.601 = 0.185 and θ</w:t>
      </w:r>
      <w:r>
        <w:rPr>
          <w:rFonts w:ascii="Arial" w:hAnsi="Arial"/>
          <w:b w:val="0"/>
          <w:i w:val="0"/>
          <w:sz w:val="20"/>
          <w:vertAlign w:val="subscript"/>
        </w:rPr>
        <w:t>c</w:t>
      </w:r>
      <w:r>
        <w:rPr>
          <w:rFonts w:ascii="Arial" w:hAnsi="Arial"/>
          <w:b w:val="0"/>
          <w:i w:val="0"/>
          <w:sz w:val="20"/>
        </w:rPr>
        <w:t xml:space="preserve">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rFonts w:ascii="Arial" w:hAnsi="Arial"/>
          <w:b w:val="0"/>
          <w:i w:val="0"/>
          <w:sz w:val="17"/>
        </w:rPr>
        <w:t>Electrostatic screening and wetting transition map. (a) Phase density contrast Δφ̃ as a function of [NaCl] and temperature. (b) Cahn-Hilliard wetting map showing contact angle θ</w:t>
      </w:r>
      <w:r>
        <w:rPr>
          <w:rFonts w:ascii="Arial" w:hAnsi="Arial"/>
          <w:b w:val="0"/>
          <w:i w:val="0"/>
          <w:sz w:val="17"/>
          <w:vertAlign w:val="subscript"/>
        </w:rPr>
        <w:t>c</w:t>
      </w:r>
      <w:r>
        <w:rPr>
          <w:rFonts w:ascii="Arial" w:hAnsi="Arial"/>
          <w:b w:val="0"/>
          <w:i w:val="0"/>
          <w:sz w:val="17"/>
        </w:rPr>
        <w:t xml:space="preserve"> vs surface energy excess Δγ</w:t>
      </w:r>
      <w:r>
        <w:rPr>
          <w:rFonts w:ascii="Arial" w:hAnsi="Arial"/>
          <w:b w:val="0"/>
          <w:i w:val="0"/>
          <w:sz w:val="17"/>
          <w:vertAlign w:val="subscript"/>
        </w:rPr>
        <w:t>s</w:t>
      </w:r>
      <w:r>
        <w:rPr>
          <w:rFonts w:ascii="Arial" w:hAnsi="Arial"/>
          <w:b w:val="0"/>
          <w:i w:val="0"/>
          <w:sz w:val="17"/>
        </w:rPr>
        <w:t xml:space="preserve"> and temperature. Exact dynamically calculated coordinates for the stabilized borophene-like scenario (red star, Δγ</w:t>
      </w:r>
      <w:r>
        <w:rPr>
          <w:rFonts w:ascii="Arial" w:hAnsi="Arial"/>
          <w:b w:val="0"/>
          <w:i w:val="0"/>
          <w:sz w:val="17"/>
          <w:vertAlign w:val="subscript"/>
        </w:rPr>
        <w:t>s</w:t>
      </w:r>
      <w:r>
        <w:rPr>
          <w:rFonts w:ascii="Arial" w:hAnsi="Arial"/>
          <w:b w:val="0"/>
          <w:i w:val="0"/>
          <w:sz w:val="17"/>
        </w:rPr>
        <w:t xml:space="preserve"> = 1.02 µN/m, θ</w:t>
      </w:r>
      <w:r>
        <w:rPr>
          <w:rFonts w:ascii="Arial" w:hAnsi="Arial"/>
          <w:b w:val="0"/>
          <w:i w:val="0"/>
          <w:sz w:val="17"/>
          <w:vertAlign w:val="subscript"/>
        </w:rPr>
        <w:t>c</w:t>
      </w:r>
      <w:r>
        <w:rPr>
          <w:rFonts w:ascii="Arial" w:hAnsi="Arial"/>
          <w:b w:val="0"/>
          <w:i w:val="0"/>
          <w:sz w:val="17"/>
        </w:rPr>
        <w:t xml:space="preserve"> = 50.3°) and Ti₃C₂Tₓ MXene-like scenario (blue diamond, Δγ</w:t>
      </w:r>
      <w:r>
        <w:rPr>
          <w:rFonts w:ascii="Arial" w:hAnsi="Arial"/>
          <w:b w:val="0"/>
          <w:i w:val="0"/>
          <w:sz w:val="17"/>
          <w:vertAlign w:val="subscript"/>
        </w:rPr>
        <w:t>s</w:t>
      </w:r>
      <w:r>
        <w:rPr>
          <w:rFonts w:ascii="Arial" w:hAnsi="Arial"/>
          <w:b w:val="0"/>
          <w:i w:val="0"/>
          <w:sz w:val="17"/>
        </w:rPr>
        <w:t xml:space="preserve"> = 0.30 µN/m, θ</w:t>
      </w:r>
      <w:r>
        <w:rPr>
          <w:rFonts w:ascii="Arial" w:hAnsi="Arial"/>
          <w:b w:val="0"/>
          <w:i w:val="0"/>
          <w:sz w:val="17"/>
          <w:vertAlign w:val="subscript"/>
        </w:rPr>
        <w:t>c</w:t>
      </w:r>
      <w:r>
        <w:rPr>
          <w:rFonts w:ascii="Arial" w:hAnsi="Arial"/>
          <w:b w:val="0"/>
          <w:i w:val="0"/>
          <w:sz w:val="17"/>
        </w:rPr>
        <w:t xml:space="preserve"> = 79.3°) at 37 °C are indicated.</w:t>
      </w:r>
    </w:p>
    <w:p>
      <w:pPr>
        <w:spacing w:before="200" w:after="60"/>
      </w:pPr>
      <w:r>
        <w:rPr>
          <w:rFonts w:ascii="Arial" w:hAnsi="Arial"/>
          <w:b/>
          <w:sz w:val="21"/>
        </w:rPr>
        <w:t>2.3 Material-Specific Differentiation: Borophene-like vs MXene-like Representative Scenarios</w:t>
      </w:r>
    </w:p>
    <w:p>
      <w:pPr>
        <w:spacing w:after="100"/>
      </w:pPr>
      <w:r>
        <w:rPr>
          <w:rFonts w:ascii="Arial" w:hAnsi="Arial"/>
          <w:b w:val="0"/>
          <w:i w:val="0"/>
          <w:sz w:val="20"/>
        </w:rPr>
        <w:t>Figure 3 quantitatively compares the predicted behavior of the literature-informed borophene-like and MXene-like representative scenarios across interfacial area density a</w:t>
      </w:r>
      <w:r>
        <w:rPr>
          <w:rFonts w:ascii="Arial" w:hAnsi="Arial"/>
          <w:b w:val="0"/>
          <w:i w:val="0"/>
          <w:sz w:val="20"/>
          <w:vertAlign w:val="subscript"/>
        </w:rPr>
        <w:t>s</w:t>
      </w:r>
      <w:r>
        <w:rPr>
          <w:rFonts w:ascii="Arial" w:hAnsi="Arial"/>
          <w:b w:val="0"/>
          <w:i w:val="0"/>
          <w:sz w:val="20"/>
        </w:rPr>
        <w:t xml:space="preserve"> ∈ [0, 1.0×10⁻⁴] nm⁻¹ (shown alongside the illustrative reference loading C</w:t>
      </w:r>
      <w:r>
        <w:rPr>
          <w:rFonts w:ascii="Arial" w:hAnsi="Arial"/>
          <w:b w:val="0"/>
          <w:i w:val="0"/>
          <w:sz w:val="20"/>
          <w:vertAlign w:val="subscript"/>
        </w:rPr>
        <w:t>nano</w:t>
      </w:r>
      <w:r>
        <w:rPr>
          <w:rFonts w:ascii="Arial" w:hAnsi="Arial"/>
          <w:b w:val="0"/>
          <w:i w:val="0"/>
          <w:sz w:val="20"/>
        </w:rPr>
        <w:t xml:space="preserve"> ∈ [0, 100] µg/mL for SSA = 1000 m²/g). The apparent cloud point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(Fig. 3a) was determined by solving the thermodynamic binodal-crossing condition φ̃</w:t>
      </w:r>
      <w:r>
        <w:rPr>
          <w:rFonts w:ascii="Arial" w:hAnsi="Arial"/>
          <w:b w:val="0"/>
          <w:i w:val="0"/>
          <w:sz w:val="20"/>
          <w:vertAlign w:val="subscript"/>
        </w:rPr>
        <w:t>free</w:t>
      </w:r>
      <w:r>
        <w:rPr>
          <w:rFonts w:ascii="Arial" w:hAnsi="Arial"/>
          <w:b w:val="0"/>
          <w:i w:val="0"/>
          <w:sz w:val="20"/>
        </w:rPr>
        <w:t>(T, a</w:t>
      </w:r>
      <w:r>
        <w:rPr>
          <w:rFonts w:ascii="Arial" w:hAnsi="Arial"/>
          <w:b w:val="0"/>
          <w:i w:val="0"/>
          <w:sz w:val="20"/>
          <w:vertAlign w:val="subscript"/>
        </w:rPr>
        <w:t>s</w:t>
      </w:r>
      <w:r>
        <w:rPr>
          <w:rFonts w:ascii="Arial" w:hAnsi="Arial"/>
          <w:b w:val="0"/>
          <w:i w:val="0"/>
          <w:sz w:val="20"/>
        </w:rPr>
        <w:t>) = φ̃</w:t>
      </w:r>
      <w:r>
        <w:rPr>
          <w:rFonts w:ascii="Arial" w:hAnsi="Arial"/>
          <w:b w:val="0"/>
          <w:i w:val="0"/>
          <w:sz w:val="20"/>
          <w:vertAlign w:val="subscript"/>
        </w:rPr>
        <w:t>dilute</w:t>
      </w:r>
      <w:r>
        <w:rPr>
          <w:rFonts w:ascii="Arial" w:hAnsi="Arial"/>
          <w:b w:val="0"/>
          <w:i w:val="0"/>
          <w:sz w:val="20"/>
        </w:rPr>
        <w:t>(T) by Brent's method. For the borophene-like scenario,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shifts from 15.3 °C (control) up to 29.4 °C at a</w:t>
      </w:r>
      <w:r>
        <w:rPr>
          <w:rFonts w:ascii="Arial" w:hAnsi="Arial"/>
          <w:b w:val="0"/>
          <w:i w:val="0"/>
          <w:sz w:val="20"/>
          <w:vertAlign w:val="subscript"/>
        </w:rPr>
        <w:t>s</w:t>
      </w:r>
      <w:r>
        <w:rPr>
          <w:rFonts w:ascii="Arial" w:hAnsi="Arial"/>
          <w:b w:val="0"/>
          <w:i w:val="0"/>
          <w:sz w:val="20"/>
        </w:rPr>
        <w:t xml:space="preserve"> = 1.0×10⁻⁴ nm⁻¹, corresponding to a +14.1 °C stabilization of the mixed state. For the MXene-like scenario,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increases modestly from 15.3 °C to 17.8 °C (+2.5 °C). Continuous wetting angles θ</w:t>
      </w:r>
      <w:r>
        <w:rPr>
          <w:rFonts w:ascii="Arial" w:hAnsi="Arial"/>
          <w:b w:val="0"/>
          <w:i w:val="0"/>
          <w:sz w:val="20"/>
          <w:vertAlign w:val="subscript"/>
        </w:rPr>
        <w:t>c</w:t>
      </w:r>
      <w:r>
        <w:rPr>
          <w:rFonts w:ascii="Arial" w:hAnsi="Arial"/>
          <w:b w:val="0"/>
          <w:i w:val="0"/>
          <w:sz w:val="20"/>
        </w:rPr>
        <w:t>(T) across 15–50 °C with Monte Carlo 95% confidence intervals (Fig. 3b) remain in the partial wetting regime for both scenarios, while kinetic lag times τ</w:t>
      </w:r>
      <w:r>
        <w:rPr>
          <w:rFonts w:ascii="Arial" w:hAnsi="Arial"/>
          <w:b w:val="0"/>
          <w:i w:val="0"/>
          <w:sz w:val="20"/>
          <w:vertAlign w:val="subscript"/>
        </w:rPr>
        <w:t>lag</w:t>
      </w:r>
      <w:r>
        <w:rPr>
          <w:rFonts w:ascii="Arial" w:hAnsi="Arial"/>
          <w:b w:val="0"/>
          <w:i w:val="0"/>
          <w:sz w:val="20"/>
        </w:rPr>
        <w:t xml:space="preserve"> (Fig. 3c) and final fibril mass M</w:t>
      </w:r>
      <w:r>
        <w:rPr>
          <w:rFonts w:ascii="Arial" w:hAnsi="Arial"/>
          <w:b w:val="0"/>
          <w:i w:val="0"/>
          <w:sz w:val="20"/>
          <w:vertAlign w:val="subscript"/>
        </w:rPr>
        <w:t>final</w:t>
      </w:r>
      <w:r>
        <w:rPr>
          <w:rFonts w:ascii="Arial" w:hAnsi="Arial"/>
          <w:b w:val="0"/>
          <w:i w:val="0"/>
          <w:sz w:val="20"/>
        </w:rPr>
        <w:t xml:space="preserve">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rFonts w:ascii="Arial" w:hAnsi="Arial"/>
          <w:b w:val="0"/>
          <w:i w:val="0"/>
          <w:sz w:val="17"/>
        </w:rPr>
        <w:t>Quantitative comparison between literature-informed borophene-like and MXene-like representative scenarios. (a) Apparent cloud-point temperature T</w:t>
      </w:r>
      <w:r>
        <w:rPr>
          <w:rFonts w:ascii="Arial" w:hAnsi="Arial"/>
          <w:b w:val="0"/>
          <w:i w:val="0"/>
          <w:sz w:val="17"/>
          <w:vertAlign w:val="subscript"/>
        </w:rPr>
        <w:t>cloud</w:t>
      </w:r>
      <w:r>
        <w:rPr>
          <w:rFonts w:ascii="Arial" w:hAnsi="Arial"/>
          <w:b w:val="0"/>
          <w:i w:val="0"/>
          <w:sz w:val="17"/>
          <w:vertAlign w:val="superscript"/>
        </w:rPr>
        <w:t>app</w:t>
      </w:r>
      <w:r>
        <w:rPr>
          <w:rFonts w:ascii="Arial" w:hAnsi="Arial"/>
          <w:b w:val="0"/>
          <w:i w:val="0"/>
          <w:sz w:val="17"/>
        </w:rPr>
        <w:t xml:space="preserve"> vs interfacial area density a</w:t>
      </w:r>
      <w:r>
        <w:rPr>
          <w:rFonts w:ascii="Arial" w:hAnsi="Arial"/>
          <w:b w:val="0"/>
          <w:i w:val="0"/>
          <w:sz w:val="17"/>
          <w:vertAlign w:val="subscript"/>
        </w:rPr>
        <w:t>s</w:t>
      </w:r>
      <w:r>
        <w:rPr>
          <w:rFonts w:ascii="Arial" w:hAnsi="Arial"/>
          <w:b w:val="0"/>
          <w:i w:val="0"/>
          <w:sz w:val="17"/>
        </w:rPr>
        <w:t>, obtained by solving the binodal-crossing condition by Brent's method (with illustrative C</w:t>
      </w:r>
      <w:r>
        <w:rPr>
          <w:rFonts w:ascii="Arial" w:hAnsi="Arial"/>
          <w:b w:val="0"/>
          <w:i w:val="0"/>
          <w:sz w:val="17"/>
          <w:vertAlign w:val="subscript"/>
        </w:rPr>
        <w:t>nano</w:t>
      </w:r>
      <w:r>
        <w:rPr>
          <w:rFonts w:ascii="Arial" w:hAnsi="Arial"/>
          <w:b w:val="0"/>
          <w:i w:val="0"/>
          <w:sz w:val="17"/>
        </w:rPr>
        <w:t xml:space="preserve"> scale). (b) Continuous Young contact angle θ</w:t>
      </w:r>
      <w:r>
        <w:rPr>
          <w:rFonts w:ascii="Arial" w:hAnsi="Arial"/>
          <w:b w:val="0"/>
          <w:i w:val="0"/>
          <w:sz w:val="17"/>
          <w:vertAlign w:val="subscript"/>
        </w:rPr>
        <w:t>c</w:t>
      </w:r>
      <w:r>
        <w:rPr>
          <w:rFonts w:ascii="Arial" w:hAnsi="Arial"/>
          <w:b w:val="0"/>
          <w:i w:val="0"/>
          <w:sz w:val="17"/>
        </w:rPr>
        <w:t>(T) across temperature with Monte Carlo 95% confidence bands. (c) Solidification lag time τ</w:t>
      </w:r>
      <w:r>
        <w:rPr>
          <w:rFonts w:ascii="Arial" w:hAnsi="Arial"/>
          <w:b w:val="0"/>
          <w:i w:val="0"/>
          <w:sz w:val="17"/>
          <w:vertAlign w:val="subscript"/>
        </w:rPr>
        <w:t>lag</w:t>
      </w:r>
      <w:r>
        <w:rPr>
          <w:rFonts w:ascii="Arial" w:hAnsi="Arial"/>
          <w:b w:val="0"/>
          <w:i w:val="0"/>
          <w:sz w:val="17"/>
        </w:rPr>
        <w:t>. (d) Final fibril mass fraction M</w:t>
      </w:r>
      <w:r>
        <w:rPr>
          <w:rFonts w:ascii="Arial" w:hAnsi="Arial"/>
          <w:b w:val="0"/>
          <w:i w:val="0"/>
          <w:sz w:val="17"/>
          <w:vertAlign w:val="subscript"/>
        </w:rPr>
        <w:t>final</w:t>
      </w:r>
      <w:r>
        <w:rPr>
          <w:rFonts w:ascii="Arial" w:hAnsi="Arial"/>
          <w:b w:val="0"/>
          <w:i w:val="0"/>
          <w:sz w:val="17"/>
        </w:rPr>
        <w:t>.</w:t>
      </w:r>
    </w:p>
    <w:p>
      <w:pPr>
        <w:spacing w:before="200" w:after="60"/>
      </w:pPr>
      <w:r>
        <w:rPr>
          <w:rFonts w:ascii="Arial" w:hAnsi="Arial"/>
          <w:b/>
          <w:sz w:val="21"/>
        </w:rPr>
        <w:t>2.4 Condensate Aging Kinetics and Secondary Nucleation Retardation</w:t>
      </w:r>
    </w:p>
    <w:p>
      <w:pPr>
        <w:spacing w:after="100"/>
      </w:pPr>
      <w:r>
        <w:rPr>
          <w:rFonts w:ascii="Arial" w:hAnsi="Arial"/>
          <w:b w:val="0"/>
          <w:i w:val="0"/>
          <w:sz w:val="20"/>
        </w:rPr>
        <w:t>Figure 4 displays time-dependent master equation trajectories with strictly dimensional fluxes and exact mass conservation. In the control droplet (red curve, a</w:t>
      </w:r>
      <w:r>
        <w:rPr>
          <w:rFonts w:ascii="Arial" w:hAnsi="Arial"/>
          <w:b w:val="0"/>
          <w:i w:val="0"/>
          <w:sz w:val="20"/>
          <w:vertAlign w:val="subscript"/>
        </w:rPr>
        <w:t>s</w:t>
      </w:r>
      <w:r>
        <w:rPr>
          <w:rFonts w:ascii="Arial" w:hAnsi="Arial"/>
          <w:b w:val="0"/>
          <w:i w:val="0"/>
          <w:sz w:val="20"/>
        </w:rPr>
        <w:t xml:space="preserve"> = 0 nm⁻¹, Fig. 4a), high local monomer concentration triggers autocatalytic secondary nucleation that converts essentially the entire dense-phase monomer pool into solid fibrils within ~12 hours (M</w:t>
      </w:r>
      <w:r>
        <w:rPr>
          <w:rFonts w:ascii="Arial" w:hAnsi="Arial"/>
          <w:b w:val="0"/>
          <w:i w:val="0"/>
          <w:sz w:val="20"/>
          <w:vertAlign w:val="subscript"/>
        </w:rPr>
        <w:t>final</w:t>
      </w:r>
      <w:r>
        <w:rPr>
          <w:rFonts w:ascii="Arial" w:hAnsi="Arial"/>
          <w:b w:val="0"/>
          <w:i w:val="0"/>
          <w:sz w:val="20"/>
        </w:rPr>
        <w:t xml:space="preserve"> → φ</w:t>
      </w:r>
      <w:r>
        <w:rPr>
          <w:rFonts w:ascii="Arial" w:hAnsi="Arial"/>
          <w:b w:val="0"/>
          <w:i w:val="0"/>
          <w:sz w:val="20"/>
          <w:vertAlign w:val="subscript"/>
        </w:rPr>
        <w:t>dense</w:t>
      </w:r>
      <w:r>
        <w:rPr>
          <w:rFonts w:ascii="Arial" w:hAnsi="Arial"/>
          <w:b w:val="0"/>
          <w:i w:val="0"/>
          <w:sz w:val="20"/>
        </w:rPr>
        <w:t>(0) = 0.60; τ</w:t>
      </w:r>
      <w:r>
        <w:rPr>
          <w:rFonts w:ascii="Arial" w:hAnsi="Arial"/>
          <w:b w:val="0"/>
          <w:i w:val="0"/>
          <w:sz w:val="20"/>
          <w:vertAlign w:val="subscript"/>
        </w:rPr>
        <w:t>lag</w:t>
      </w:r>
      <w:r>
        <w:rPr>
          <w:rFonts w:ascii="Arial" w:hAnsi="Arial"/>
          <w:b w:val="0"/>
          <w:i w:val="0"/>
          <w:sz w:val="20"/>
        </w:rPr>
        <w:t xml:space="preserve"> = 2.70 h). In the presence of 2D nanosheets (Fig. 4b,c), interfacial monomer extraction depletes the liquid monomer fraction φ</w:t>
      </w:r>
      <w:r>
        <w:rPr>
          <w:rFonts w:ascii="Arial" w:hAnsi="Arial"/>
          <w:b w:val="0"/>
          <w:i w:val="0"/>
          <w:sz w:val="20"/>
          <w:vertAlign w:val="subscript"/>
        </w:rPr>
        <w:t>dense</w:t>
      </w:r>
      <w:r>
        <w:rPr>
          <w:rFonts w:ascii="Arial" w:hAnsi="Arial"/>
          <w:b w:val="0"/>
          <w:i w:val="0"/>
          <w:sz w:val="20"/>
        </w:rPr>
        <w:t>(t), extending the solidification lag time to 2.94 h at a</w:t>
      </w:r>
      <w:r>
        <w:rPr>
          <w:rFonts w:ascii="Arial" w:hAnsi="Arial"/>
          <w:b w:val="0"/>
          <w:i w:val="0"/>
          <w:sz w:val="20"/>
          <w:vertAlign w:val="subscript"/>
        </w:rPr>
        <w:t>s</w:t>
      </w:r>
      <w:r>
        <w:rPr>
          <w:rFonts w:ascii="Arial" w:hAnsi="Arial"/>
          <w:b w:val="0"/>
          <w:i w:val="0"/>
          <w:sz w:val="20"/>
        </w:rPr>
        <w:t xml:space="preserve"> = 1.0×10⁻⁴ nm⁻¹ (Fig. 4d) and reducing the final fibril mass fraction to 0.570 (a ~5% absolute reduction). We emphasize that this kinetic module is a prospective, normalized amyloid-aging model, since spontaneous fibrillation of pure Tau K18 without polyanionic cofactors such as heparin proceeds much more slowly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rFonts w:ascii="Arial" w:hAnsi="Arial"/>
          <w:b w:val="0"/>
          <w:i w:val="0"/>
          <w:sz w:val="17"/>
        </w:rPr>
        <w:t>Condensate aging kinetics under strictly dimensional master equations. (a) Fibril mass fraction M</w:t>
      </w:r>
      <w:r>
        <w:rPr>
          <w:rFonts w:ascii="Arial" w:hAnsi="Arial"/>
          <w:b w:val="0"/>
          <w:i w:val="0"/>
          <w:sz w:val="17"/>
          <w:vertAlign w:val="subscript"/>
        </w:rPr>
        <w:t>drop</w:t>
      </w:r>
      <w:r>
        <w:rPr>
          <w:rFonts w:ascii="Arial" w:hAnsi="Arial"/>
          <w:b w:val="0"/>
          <w:i w:val="0"/>
          <w:sz w:val="17"/>
        </w:rPr>
        <w:t>(t). (b) Liquid monomer depletion φ</w:t>
      </w:r>
      <w:r>
        <w:rPr>
          <w:rFonts w:ascii="Arial" w:hAnsi="Arial"/>
          <w:b w:val="0"/>
          <w:i w:val="0"/>
          <w:sz w:val="17"/>
          <w:vertAlign w:val="subscript"/>
        </w:rPr>
        <w:t>dense</w:t>
      </w:r>
      <w:r>
        <w:rPr>
          <w:rFonts w:ascii="Arial" w:hAnsi="Arial"/>
          <w:b w:val="0"/>
          <w:i w:val="0"/>
          <w:sz w:val="17"/>
        </w:rPr>
        <w:t>(t). (c) Interfacial monomer sequestration m</w:t>
      </w:r>
      <w:r>
        <w:rPr>
          <w:rFonts w:ascii="Arial" w:hAnsi="Arial"/>
          <w:b w:val="0"/>
          <w:i w:val="0"/>
          <w:sz w:val="17"/>
          <w:vertAlign w:val="subscript"/>
        </w:rPr>
        <w:t>ads</w:t>
      </w:r>
      <w:r>
        <w:rPr>
          <w:rFonts w:ascii="Arial" w:hAnsi="Arial"/>
          <w:b w:val="0"/>
          <w:i w:val="0"/>
          <w:sz w:val="17"/>
        </w:rPr>
        <w:t>(t). (d) Fibrillation lag time τ</w:t>
      </w:r>
      <w:r>
        <w:rPr>
          <w:rFonts w:ascii="Arial" w:hAnsi="Arial"/>
          <w:b w:val="0"/>
          <w:i w:val="0"/>
          <w:sz w:val="17"/>
          <w:vertAlign w:val="subscript"/>
        </w:rPr>
        <w:t>lag</w:t>
      </w:r>
      <w:r>
        <w:rPr>
          <w:rFonts w:ascii="Arial" w:hAnsi="Arial"/>
          <w:b w:val="0"/>
          <w:i w:val="0"/>
          <w:sz w:val="17"/>
        </w:rPr>
        <w:t xml:space="preserve"> vs interfacial area density a</w:t>
      </w:r>
      <w:r>
        <w:rPr>
          <w:rFonts w:ascii="Arial" w:hAnsi="Arial"/>
          <w:b w:val="0"/>
          <w:i w:val="0"/>
          <w:sz w:val="17"/>
          <w:vertAlign w:val="subscript"/>
        </w:rPr>
        <w:t>s</w:t>
      </w:r>
      <w:r>
        <w:rPr>
          <w:rFonts w:ascii="Arial" w:hAnsi="Arial"/>
          <w:b w:val="0"/>
          <w:i w:val="0"/>
          <w:sz w:val="17"/>
        </w:rPr>
        <w:t xml:space="preserve"> across [0, 1.0×10⁻⁴] nm⁻¹ (with illustrative reference loading C</w:t>
      </w:r>
      <w:r>
        <w:rPr>
          <w:rFonts w:ascii="Arial" w:hAnsi="Arial"/>
          <w:b w:val="0"/>
          <w:i w:val="0"/>
          <w:sz w:val="17"/>
          <w:vertAlign w:val="subscript"/>
        </w:rPr>
        <w:t>nano</w:t>
      </w:r>
      <w:r>
        <w:rPr>
          <w:rFonts w:ascii="Arial" w:hAnsi="Arial"/>
          <w:b w:val="0"/>
          <w:i w:val="0"/>
          <w:sz w:val="17"/>
        </w:rPr>
        <w:t xml:space="preserve"> ∈ [0, 100] µg/mL).</w:t>
      </w:r>
    </w:p>
    <w:p>
      <w:pPr>
        <w:spacing w:before="200" w:after="60"/>
      </w:pPr>
      <w:r>
        <w:rPr>
          <w:rFonts w:ascii="Arial" w:hAnsi="Arial"/>
          <w:b/>
          <w:sz w:val="21"/>
        </w:rPr>
        <w:t>2.5 Global Sensitivity and Convergence Analysis</w:t>
      </w:r>
    </w:p>
    <w:p>
      <w:pPr>
        <w:spacing w:after="100"/>
      </w:pPr>
      <w:r>
        <w:rPr>
          <w:rFonts w:ascii="Arial" w:hAnsi="Arial"/>
          <w:b w:val="0"/>
          <w:i w:val="0"/>
          <w:sz w:val="20"/>
        </w:rPr>
        <w:t>Figure 5 presents the Saltelli Sobol global sensitivity analysis over the 8 parameter distributions detailed in Table 3, using SALib (N</w:t>
      </w:r>
      <w:r>
        <w:rPr>
          <w:rFonts w:ascii="Arial" w:hAnsi="Arial"/>
          <w:b w:val="0"/>
          <w:i w:val="0"/>
          <w:sz w:val="20"/>
          <w:vertAlign w:val="subscript"/>
        </w:rPr>
        <w:t>base</w:t>
      </w:r>
      <w:r>
        <w:rPr>
          <w:rFonts w:ascii="Arial" w:hAnsi="Arial"/>
          <w:b w:val="0"/>
          <w:i w:val="0"/>
          <w:sz w:val="20"/>
        </w:rPr>
        <w:t xml:space="preserve"> = 1024, N</w:t>
      </w:r>
      <w:r>
        <w:rPr>
          <w:rFonts w:ascii="Arial" w:hAnsi="Arial"/>
          <w:b w:val="0"/>
          <w:i w:val="0"/>
          <w:sz w:val="20"/>
          <w:vertAlign w:val="subscript"/>
        </w:rPr>
        <w:t>eval</w:t>
      </w:r>
      <w:r>
        <w:rPr>
          <w:rFonts w:ascii="Arial" w:hAnsi="Arial"/>
          <w:b w:val="0"/>
          <w:i w:val="0"/>
          <w:sz w:val="20"/>
        </w:rPr>
        <w:t xml:space="preserve"> = 10240, scrambled Sobol seed = 42, 95% bootstrap confidence intervals across 1000 resamples). For the apparent cloud point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w:t>
      </w:r>
      <w:r>
        <w:rPr>
          <w:rFonts w:ascii="Arial" w:hAnsi="Arial"/>
          <w:b w:val="0"/>
          <w:i w:val="0"/>
          <w:sz w:val="20"/>
          <w:vertAlign w:val="subscript"/>
        </w:rPr>
        <w:t>T</w:t>
      </w:r>
      <w:r>
        <w:rPr>
          <w:rFonts w:ascii="Arial" w:hAnsi="Arial"/>
          <w:b w:val="0"/>
          <w:i w:val="0"/>
          <w:sz w:val="20"/>
        </w:rPr>
        <w:t xml:space="preserve"> = 0.13-0.25: the bulk-LCST calibration parameters thermal slope β (S</w:t>
      </w:r>
      <w:r>
        <w:rPr>
          <w:rFonts w:ascii="Arial" w:hAnsi="Arial"/>
          <w:b w:val="0"/>
          <w:i w:val="0"/>
          <w:sz w:val="20"/>
          <w:vertAlign w:val="subscript"/>
        </w:rPr>
        <w:t>T</w:t>
      </w:r>
      <w:r>
        <w:rPr>
          <w:rFonts w:ascii="Arial" w:hAnsi="Arial"/>
          <w:b w:val="0"/>
          <w:i w:val="0"/>
          <w:sz w:val="20"/>
        </w:rPr>
        <w:t xml:space="preserve"> = 0.25 ± 0.03) and critical temperature T</w:t>
      </w:r>
      <w:r>
        <w:rPr>
          <w:rFonts w:ascii="Arial" w:hAnsi="Arial"/>
          <w:b w:val="0"/>
          <w:i w:val="0"/>
          <w:sz w:val="20"/>
          <w:vertAlign w:val="subscript"/>
        </w:rPr>
        <w:t>c</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0.21 ± 0.02) lead, and the interfacial coordinates adsorption free energy ΔG</w:t>
      </w:r>
      <w:r>
        <w:rPr>
          <w:rFonts w:ascii="Arial" w:hAnsi="Arial"/>
          <w:b w:val="0"/>
          <w:i w:val="0"/>
          <w:sz w:val="20"/>
          <w:vertAlign w:val="subscript"/>
        </w:rPr>
        <w:t>ads</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0.20 ± 0.03) and area density a</w:t>
      </w:r>
      <w:r>
        <w:rPr>
          <w:rFonts w:ascii="Arial" w:hAnsi="Arial"/>
          <w:b w:val="0"/>
          <w:i w:val="0"/>
          <w:sz w:val="20"/>
          <w:vertAlign w:val="subscript"/>
        </w:rPr>
        <w:t>s</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0.18 ± 0.03) contribute comparably, followed by effective chain length N</w:t>
      </w:r>
      <w:r>
        <w:rPr>
          <w:rFonts w:ascii="Arial" w:hAnsi="Arial"/>
          <w:b w:val="0"/>
          <w:i w:val="0"/>
          <w:sz w:val="20"/>
          <w:vertAlign w:val="subscript"/>
        </w:rPr>
        <w:t>eff</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0.15 ± 0.02) and ionic strength I (S</w:t>
      </w:r>
      <w:r>
        <w:rPr>
          <w:rFonts w:ascii="Arial" w:hAnsi="Arial"/>
          <w:b w:val="0"/>
          <w:i w:val="0"/>
          <w:sz w:val="20"/>
          <w:vertAlign w:val="subscript"/>
        </w:rPr>
        <w:t>T</w:t>
      </w:r>
      <w:r>
        <w:rPr>
          <w:rFonts w:ascii="Arial" w:hAnsi="Arial"/>
          <w:b w:val="0"/>
          <w:i w:val="0"/>
          <w:sz w:val="20"/>
        </w:rPr>
        <w:t xml:space="preserve"> = 0.13 ± 0.02). First-order and total-effect indices are close for every parameter (Σ S</w:t>
      </w:r>
      <w:r>
        <w:rPr>
          <w:rFonts w:ascii="Arial" w:hAnsi="Arial"/>
          <w:b w:val="0"/>
          <w:i w:val="0"/>
          <w:sz w:val="20"/>
          <w:vertAlign w:val="subscript"/>
        </w:rPr>
        <w:t>i</w:t>
      </w:r>
      <w:r>
        <w:rPr>
          <w:rFonts w:ascii="Arial" w:hAnsi="Arial"/>
          <w:b w:val="0"/>
          <w:i w:val="0"/>
          <w:sz w:val="20"/>
        </w:rPr>
        <w:t xml:space="preserve"> ≈ 0.87 versus Σ S</w:t>
      </w:r>
      <w:r>
        <w:rPr>
          <w:rFonts w:ascii="Arial" w:hAnsi="Arial"/>
          <w:b w:val="0"/>
          <w:i w:val="0"/>
          <w:sz w:val="20"/>
          <w:vertAlign w:val="subscript"/>
        </w:rPr>
        <w:t>T</w:t>
      </w:r>
      <w:r>
        <w:rPr>
          <w:rFonts w:ascii="Arial" w:hAnsi="Arial"/>
          <w:b w:val="0"/>
          <w:i w:val="0"/>
          <w:sz w:val="20"/>
        </w:rPr>
        <w:t xml:space="preserve"> ≈ 1.12), so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responds to its inputs in a near-additive manner with only mild pairwise interaction. Crucially, the structurally inactive parameters η</w:t>
      </w:r>
      <w:r>
        <w:rPr>
          <w:rFonts w:ascii="Arial" w:hAnsi="Arial"/>
          <w:b w:val="0"/>
          <w:i w:val="0"/>
          <w:sz w:val="20"/>
          <w:vertAlign w:val="subscript"/>
        </w:rPr>
        <w:t>eff</w:t>
      </w:r>
      <w:r>
        <w:rPr>
          <w:rFonts w:ascii="Arial" w:hAnsi="Arial"/>
          <w:b w:val="0"/>
          <w:i w:val="0"/>
          <w:sz w:val="20"/>
        </w:rPr>
        <w:t xml:space="preserve"> (S</w:t>
      </w:r>
      <w:r>
        <w:rPr>
          <w:rFonts w:ascii="Arial" w:hAnsi="Arial"/>
          <w:b w:val="0"/>
          <w:i w:val="0"/>
          <w:sz w:val="20"/>
          <w:vertAlign w:val="subscript"/>
        </w:rPr>
        <w:t>1</w:t>
      </w:r>
      <w:r>
        <w:rPr>
          <w:rFonts w:ascii="Arial" w:hAnsi="Arial"/>
          <w:b w:val="0"/>
          <w:i w:val="0"/>
          <w:sz w:val="20"/>
        </w:rPr>
        <w:t xml:space="preserve"> = 0.000 ± 0.000, S</w:t>
      </w:r>
      <w:r>
        <w:rPr>
          <w:rFonts w:ascii="Arial" w:hAnsi="Arial"/>
          <w:b w:val="0"/>
          <w:i w:val="0"/>
          <w:sz w:val="20"/>
          <w:vertAlign w:val="subscript"/>
        </w:rPr>
        <w:t>T</w:t>
      </w:r>
      <w:r>
        <w:rPr>
          <w:rFonts w:ascii="Arial" w:hAnsi="Arial"/>
          <w:b w:val="0"/>
          <w:i w:val="0"/>
          <w:sz w:val="20"/>
        </w:rPr>
        <w:t xml:space="preserve"> = 0.000 ± 0.000) and k</w:t>
      </w:r>
      <w:r>
        <w:rPr>
          <w:rFonts w:ascii="Arial" w:hAnsi="Arial"/>
          <w:b w:val="0"/>
          <w:i w:val="0"/>
          <w:sz w:val="20"/>
          <w:vertAlign w:val="subscript"/>
        </w:rPr>
        <w:t>ext</w:t>
      </w:r>
      <w:r>
        <w:rPr>
          <w:rFonts w:ascii="Arial" w:hAnsi="Arial"/>
          <w:b w:val="0"/>
          <w:i w:val="0"/>
          <w:sz w:val="20"/>
        </w:rPr>
        <w:t xml:space="preserve"> (S</w:t>
      </w:r>
      <w:r>
        <w:rPr>
          <w:rFonts w:ascii="Arial" w:hAnsi="Arial"/>
          <w:b w:val="0"/>
          <w:i w:val="0"/>
          <w:sz w:val="20"/>
          <w:vertAlign w:val="subscript"/>
        </w:rPr>
        <w:t>1</w:t>
      </w:r>
      <w:r>
        <w:rPr>
          <w:rFonts w:ascii="Arial" w:hAnsi="Arial"/>
          <w:b w:val="0"/>
          <w:i w:val="0"/>
          <w:sz w:val="20"/>
        </w:rPr>
        <w:t xml:space="preserve"> = 0.000 ± 0.000, S</w:t>
      </w:r>
      <w:r>
        <w:rPr>
          <w:rFonts w:ascii="Arial" w:hAnsi="Arial"/>
          <w:b w:val="0"/>
          <w:i w:val="0"/>
          <w:sz w:val="20"/>
          <w:vertAlign w:val="subscript"/>
        </w:rPr>
        <w:t>T</w:t>
      </w:r>
      <w:r>
        <w:rPr>
          <w:rFonts w:ascii="Arial" w:hAnsi="Arial"/>
          <w:b w:val="0"/>
          <w:i w:val="0"/>
          <w:sz w:val="20"/>
        </w:rPr>
        <w:t xml:space="preserve"> = 0.000 ± 0.000) evaluate to exact mathematical zeros, confirming the absence of estimator bias. For fibrillation mass M</w:t>
      </w:r>
      <w:r>
        <w:rPr>
          <w:rFonts w:ascii="Arial" w:hAnsi="Arial"/>
          <w:b w:val="0"/>
          <w:i w:val="0"/>
          <w:sz w:val="20"/>
          <w:vertAlign w:val="subscript"/>
        </w:rPr>
        <w:t>final</w:t>
      </w:r>
      <w:r>
        <w:rPr>
          <w:rFonts w:ascii="Arial" w:hAnsi="Arial"/>
          <w:b w:val="0"/>
          <w:i w:val="0"/>
          <w:sz w:val="20"/>
        </w:rPr>
        <w:t xml:space="preserve"> (Fig. 5b), interfacial area density a</w:t>
      </w:r>
      <w:r>
        <w:rPr>
          <w:rFonts w:ascii="Arial" w:hAnsi="Arial"/>
          <w:b w:val="0"/>
          <w:i w:val="0"/>
          <w:sz w:val="20"/>
          <w:vertAlign w:val="subscript"/>
        </w:rPr>
        <w:t>s</w:t>
      </w:r>
      <w:r>
        <w:rPr>
          <w:rFonts w:ascii="Arial" w:hAnsi="Arial"/>
          <w:b w:val="0"/>
          <w:i w:val="0"/>
          <w:sz w:val="20"/>
        </w:rPr>
        <w:t xml:space="preserve"> (first-order S</w:t>
      </w:r>
      <w:r>
        <w:rPr>
          <w:rFonts w:ascii="Arial" w:hAnsi="Arial"/>
          <w:b w:val="0"/>
          <w:i w:val="0"/>
          <w:sz w:val="20"/>
          <w:vertAlign w:val="subscript"/>
        </w:rPr>
        <w:t>i</w:t>
      </w:r>
      <w:r>
        <w:rPr>
          <w:rFonts w:ascii="Arial" w:hAnsi="Arial"/>
          <w:b w:val="0"/>
          <w:i w:val="0"/>
          <w:sz w:val="20"/>
        </w:rPr>
        <w:t xml:space="preserve"> = 0.89 ± 0.07, total-effect S</w:t>
      </w:r>
      <w:r>
        <w:rPr>
          <w:rFonts w:ascii="Arial" w:hAnsi="Arial"/>
          <w:b w:val="0"/>
          <w:i w:val="0"/>
          <w:sz w:val="20"/>
          <w:vertAlign w:val="subscript"/>
        </w:rPr>
        <w:t>T</w:t>
      </w:r>
      <w:r>
        <w:rPr>
          <w:rFonts w:ascii="Arial" w:hAnsi="Arial"/>
          <w:b w:val="0"/>
          <w:i w:val="0"/>
          <w:sz w:val="20"/>
        </w:rPr>
        <w:t xml:space="preserve"> = 0.91 ± 0.06) and extraction rate k</w:t>
      </w:r>
      <w:r>
        <w:rPr>
          <w:rFonts w:ascii="Arial" w:hAnsi="Arial"/>
          <w:b w:val="0"/>
          <w:i w:val="0"/>
          <w:sz w:val="20"/>
          <w:vertAlign w:val="subscript"/>
        </w:rPr>
        <w:t>ext</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0.12 ± 0.02) exert primary control, while pure thermodynamic parameters do not participate directly in the isolated droplet aging equations (S</w:t>
      </w:r>
      <w:r>
        <w:rPr>
          <w:rFonts w:ascii="Arial" w:hAnsi="Arial"/>
          <w:b w:val="0"/>
          <w:i w:val="0"/>
          <w:sz w:val="20"/>
          <w:vertAlign w:val="subscript"/>
        </w:rPr>
        <w:t>1</w:t>
      </w:r>
      <w:r>
        <w:rPr>
          <w:rFonts w:ascii="Arial" w:hAnsi="Arial"/>
          <w:b w:val="0"/>
          <w:i w:val="0"/>
          <w:sz w:val="20"/>
        </w:rPr>
        <w:t xml:space="preserve"> = 0.000, S</w:t>
      </w:r>
      <w:r>
        <w:rPr>
          <w:rFonts w:ascii="Arial" w:hAnsi="Arial"/>
          <w:b w:val="0"/>
          <w:i w:val="0"/>
          <w:sz w:val="20"/>
          <w:vertAlign w:val="subscript"/>
        </w:rPr>
        <w:t>T</w:t>
      </w:r>
      <w:r>
        <w:rPr>
          <w:rFonts w:ascii="Arial" w:hAnsi="Arial"/>
          <w:b w:val="0"/>
          <w:i w:val="0"/>
          <w:sz w:val="20"/>
        </w:rPr>
        <w:t xml:space="preserve"> = 0.000). We extended the same 8-parameter Sobol design to a third output, the physiological (37 °C) wetting angle θ</w:t>
      </w:r>
      <w:r>
        <w:rPr>
          <w:rFonts w:ascii="Arial" w:hAnsi="Arial"/>
          <w:b w:val="0"/>
          <w:i w:val="0"/>
          <w:sz w:val="20"/>
          <w:vertAlign w:val="subscript"/>
        </w:rPr>
        <w:t>c</w:t>
      </w:r>
      <w:r>
        <w:rPr>
          <w:rFonts w:ascii="Arial" w:hAnsi="Arial"/>
          <w:b w:val="0"/>
          <w:i w:val="0"/>
          <w:sz w:val="20"/>
        </w:rPr>
        <w:t xml:space="preserve"> (Fig. 5c), evaluated directly from the bulk binodal and the Langmuir surface grand potential at every sample. Adsorption free energy ΔG</w:t>
      </w:r>
      <w:r>
        <w:rPr>
          <w:rFonts w:ascii="Arial" w:hAnsi="Arial"/>
          <w:b w:val="0"/>
          <w:i w:val="0"/>
          <w:sz w:val="20"/>
          <w:vertAlign w:val="subscript"/>
        </w:rPr>
        <w:t>ads</w:t>
      </w:r>
      <w:r>
        <w:rPr>
          <w:rFonts w:ascii="Arial" w:hAnsi="Arial"/>
          <w:b w:val="0"/>
          <w:i w:val="0"/>
          <w:sz w:val="20"/>
        </w:rPr>
        <w:t xml:space="preserve"> dominates (S</w:t>
      </w:r>
      <w:r>
        <w:rPr>
          <w:rFonts w:ascii="Arial" w:hAnsi="Arial"/>
          <w:b w:val="0"/>
          <w:i w:val="0"/>
          <w:sz w:val="20"/>
          <w:vertAlign w:val="subscript"/>
        </w:rPr>
        <w:t>T</w:t>
      </w:r>
      <w:r>
        <w:rPr>
          <w:rFonts w:ascii="Arial" w:hAnsi="Arial"/>
          <w:b w:val="0"/>
          <w:i w:val="0"/>
          <w:sz w:val="20"/>
        </w:rPr>
        <w:t xml:space="preserve"> = 0.67 ± 0.07), followed by the phenomenological coupling factor η</w:t>
      </w:r>
      <w:r>
        <w:rPr>
          <w:rFonts w:ascii="Arial" w:hAnsi="Arial"/>
          <w:b w:val="0"/>
          <w:i w:val="0"/>
          <w:sz w:val="20"/>
          <w:vertAlign w:val="subscript"/>
        </w:rPr>
        <w:t>eff</w:t>
      </w:r>
      <w:r>
        <w:rPr>
          <w:rFonts w:ascii="Arial" w:hAnsi="Arial"/>
          <w:b w:val="0"/>
          <w:i w:val="0"/>
          <w:sz w:val="20"/>
        </w:rPr>
        <w:t xml:space="preserve"> (S</w:t>
      </w:r>
      <w:r>
        <w:rPr>
          <w:rFonts w:ascii="Arial" w:hAnsi="Arial"/>
          <w:b w:val="0"/>
          <w:i w:val="0"/>
          <w:sz w:val="20"/>
          <w:vertAlign w:val="subscript"/>
        </w:rPr>
        <w:t>T</w:t>
      </w:r>
      <w:r>
        <w:rPr>
          <w:rFonts w:ascii="Arial" w:hAnsi="Arial"/>
          <w:b w:val="0"/>
          <w:i w:val="0"/>
          <w:sz w:val="20"/>
        </w:rPr>
        <w:t xml:space="preserve"> = 0.29 ± 0.04, which enters θ</w:t>
      </w:r>
      <w:r>
        <w:rPr>
          <w:rFonts w:ascii="Arial" w:hAnsi="Arial"/>
          <w:b w:val="0"/>
          <w:i w:val="0"/>
          <w:sz w:val="20"/>
          <w:vertAlign w:val="subscript"/>
        </w:rPr>
        <w:t>c</w:t>
      </w:r>
      <w:r>
        <w:rPr>
          <w:rFonts w:ascii="Arial" w:hAnsi="Arial"/>
          <w:b w:val="0"/>
          <w:i w:val="0"/>
          <w:sz w:val="20"/>
        </w:rPr>
        <w:t xml:space="preserve"> linearly through Δγ</w:t>
      </w:r>
      <w:r>
        <w:rPr>
          <w:rFonts w:ascii="Arial" w:hAnsi="Arial"/>
          <w:b w:val="0"/>
          <w:i w:val="0"/>
          <w:sz w:val="20"/>
          <w:vertAlign w:val="subscript"/>
        </w:rPr>
        <w:t>s</w:t>
      </w:r>
      <w:r>
        <w:rPr>
          <w:rFonts w:ascii="Arial" w:hAnsi="Arial"/>
          <w:b w:val="0"/>
          <w:i w:val="0"/>
          <w:sz w:val="20"/>
        </w:rPr>
        <w:t xml:space="preserve"> but has no effect on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or M</w:t>
      </w:r>
      <w:r>
        <w:rPr>
          <w:rFonts w:ascii="Arial" w:hAnsi="Arial"/>
          <w:b w:val="0"/>
          <w:i w:val="0"/>
          <w:sz w:val="20"/>
          <w:vertAlign w:val="subscript"/>
        </w:rPr>
        <w:t>final</w:t>
      </w:r>
      <w:r>
        <w:rPr>
          <w:rFonts w:ascii="Arial" w:hAnsi="Arial"/>
          <w:b w:val="0"/>
          <w:i w:val="0"/>
          <w:sz w:val="20"/>
        </w:rPr>
        <w:t>) and thermal slope β (S</w:t>
      </w:r>
      <w:r>
        <w:rPr>
          <w:rFonts w:ascii="Arial" w:hAnsi="Arial"/>
          <w:b w:val="0"/>
          <w:i w:val="0"/>
          <w:sz w:val="20"/>
          <w:vertAlign w:val="subscript"/>
        </w:rPr>
        <w:t>T</w:t>
      </w:r>
      <w:r>
        <w:rPr>
          <w:rFonts w:ascii="Arial" w:hAnsi="Arial"/>
          <w:b w:val="0"/>
          <w:i w:val="0"/>
          <w:sz w:val="20"/>
        </w:rPr>
        <w:t xml:space="preserve"> = 0.21 ± 0.03); critical temperature, segment length and ionic strength contribute only weakly (S</w:t>
      </w:r>
      <w:r>
        <w:rPr>
          <w:rFonts w:ascii="Arial" w:hAnsi="Arial"/>
          <w:b w:val="0"/>
          <w:i w:val="0"/>
          <w:sz w:val="20"/>
          <w:vertAlign w:val="subscript"/>
        </w:rPr>
        <w:t>T</w:t>
      </w:r>
      <w:r>
        <w:rPr>
          <w:rFonts w:ascii="Arial" w:hAnsi="Arial"/>
          <w:b w:val="0"/>
          <w:i w:val="0"/>
          <w:sz w:val="20"/>
        </w:rPr>
        <w:t xml:space="preserve"> &lt; 0.04). As with the aging kinetics, area density a</w:t>
      </w:r>
      <w:r>
        <w:rPr>
          <w:rFonts w:ascii="Arial" w:hAnsi="Arial"/>
          <w:b w:val="0"/>
          <w:i w:val="0"/>
          <w:sz w:val="20"/>
          <w:vertAlign w:val="subscript"/>
        </w:rPr>
        <w:t>s</w:t>
      </w:r>
      <w:r>
        <w:rPr>
          <w:rFonts w:ascii="Arial" w:hAnsi="Arial"/>
          <w:b w:val="0"/>
          <w:i w:val="0"/>
          <w:sz w:val="20"/>
        </w:rPr>
        <w:t xml:space="preserve"> and extraction rate k</w:t>
      </w:r>
      <w:r>
        <w:rPr>
          <w:rFonts w:ascii="Arial" w:hAnsi="Arial"/>
          <w:b w:val="0"/>
          <w:i w:val="0"/>
          <w:sz w:val="20"/>
          <w:vertAlign w:val="subscript"/>
        </w:rPr>
        <w:t>ext</w:t>
      </w:r>
      <w:r>
        <w:rPr>
          <w:rFonts w:ascii="Arial" w:hAnsi="Arial"/>
          <w:b w:val="0"/>
          <w:i w:val="0"/>
          <w:sz w:val="20"/>
        </w:rPr>
        <w:t xml:space="preserve"> evaluate to exact structural zeros for θ</w:t>
      </w:r>
      <w:r>
        <w:rPr>
          <w:rFonts w:ascii="Arial" w:hAnsi="Arial"/>
          <w:b w:val="0"/>
          <w:i w:val="0"/>
          <w:sz w:val="20"/>
          <w:vertAlign w:val="subscript"/>
        </w:rPr>
        <w:t>c</w:t>
      </w:r>
      <w:r>
        <w:rPr>
          <w:rFonts w:ascii="Arial" w:hAnsi="Arial"/>
          <w:b w:val="0"/>
          <w:i w:val="0"/>
          <w:sz w:val="20"/>
        </w:rPr>
        <w:t>,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w:t>
      </w:r>
      <w:r>
        <w:rPr>
          <w:rFonts w:ascii="Arial" w:hAnsi="Arial"/>
          <w:b w:val="0"/>
          <w:i w:val="0"/>
          <w:sz w:val="20"/>
          <w:vertAlign w:val="subscript"/>
        </w:rPr>
        <w:t>base</w:t>
      </w:r>
      <w:r>
        <w:rPr>
          <w:rFonts w:ascii="Arial" w:hAnsi="Arial"/>
          <w:b w:val="0"/>
          <w:i w:val="0"/>
          <w:sz w:val="20"/>
        </w:rPr>
        <w:t xml:space="preserve"> = 256 and N</w:t>
      </w:r>
      <w:r>
        <w:rPr>
          <w:rFonts w:ascii="Arial" w:hAnsi="Arial"/>
          <w:b w:val="0"/>
          <w:i w:val="0"/>
          <w:sz w:val="20"/>
          <w:vertAlign w:val="subscript"/>
        </w:rPr>
        <w:t>base</w:t>
      </w:r>
      <w:r>
        <w:rPr>
          <w:rFonts w:ascii="Arial" w:hAnsi="Arial"/>
          <w:b w:val="0"/>
          <w:i w:val="0"/>
          <w:sz w:val="20"/>
        </w:rPr>
        <w:t xml:space="preserve"> = 1024 every total-effect index changes by less than 0.02 and every bootstrap confidence interval narrows monotonically, so the N</w:t>
      </w:r>
      <w:r>
        <w:rPr>
          <w:rFonts w:ascii="Arial" w:hAnsi="Arial"/>
          <w:b w:val="0"/>
          <w:i w:val="0"/>
          <w:sz w:val="20"/>
          <w:vertAlign w:val="subscript"/>
        </w:rPr>
        <w:t>base</w:t>
      </w:r>
      <w:r>
        <w:rPr>
          <w:rFonts w:ascii="Arial" w:hAnsi="Arial"/>
          <w:b w:val="0"/>
          <w:i w:val="0"/>
          <w:sz w:val="20"/>
        </w:rPr>
        <w:t xml:space="preserv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rFonts w:ascii="Arial" w:hAnsi="Arial"/>
          <w:b w:val="0"/>
          <w:i w:val="0"/>
          <w:sz w:val="17"/>
        </w:rPr>
        <w:t>Sobol global sensitivity and block convergence analysis. First-order (S</w:t>
      </w:r>
      <w:r>
        <w:rPr>
          <w:rFonts w:ascii="Arial" w:hAnsi="Arial"/>
          <w:b w:val="0"/>
          <w:i w:val="0"/>
          <w:sz w:val="17"/>
          <w:vertAlign w:val="subscript"/>
        </w:rPr>
        <w:t>i</w:t>
      </w:r>
      <w:r>
        <w:rPr>
          <w:rFonts w:ascii="Arial" w:hAnsi="Arial"/>
          <w:b w:val="0"/>
          <w:i w:val="0"/>
          <w:sz w:val="17"/>
        </w:rPr>
        <w:t>) and total-effect (S</w:t>
      </w:r>
      <w:r>
        <w:rPr>
          <w:rFonts w:ascii="Arial" w:hAnsi="Arial"/>
          <w:b w:val="0"/>
          <w:i w:val="0"/>
          <w:sz w:val="17"/>
          <w:vertAlign w:val="subscript"/>
        </w:rPr>
        <w:t>Ti</w:t>
      </w:r>
      <w:r>
        <w:rPr>
          <w:rFonts w:ascii="Arial" w:hAnsi="Arial"/>
          <w:b w:val="0"/>
          <w:i w:val="0"/>
          <w:sz w:val="17"/>
        </w:rPr>
        <w:t>) indices with 95% bootstrap confidence intervals for (a) apparent cloud point T</w:t>
      </w:r>
      <w:r>
        <w:rPr>
          <w:rFonts w:ascii="Arial" w:hAnsi="Arial"/>
          <w:b w:val="0"/>
          <w:i w:val="0"/>
          <w:sz w:val="17"/>
          <w:vertAlign w:val="subscript"/>
        </w:rPr>
        <w:t>cloud</w:t>
      </w:r>
      <w:r>
        <w:rPr>
          <w:rFonts w:ascii="Arial" w:hAnsi="Arial"/>
          <w:b w:val="0"/>
          <w:i w:val="0"/>
          <w:sz w:val="17"/>
          <w:vertAlign w:val="superscript"/>
        </w:rPr>
        <w:t>app</w:t>
      </w:r>
      <w:r>
        <w:rPr>
          <w:rFonts w:ascii="Arial" w:hAnsi="Arial"/>
          <w:b w:val="0"/>
          <w:i w:val="0"/>
          <w:sz w:val="17"/>
        </w:rPr>
        <w:t xml:space="preserve"> (evaluated directly with the FH-VO cloud-point solver), (b) fibrillation arrest M</w:t>
      </w:r>
      <w:r>
        <w:rPr>
          <w:rFonts w:ascii="Arial" w:hAnsi="Arial"/>
          <w:b w:val="0"/>
          <w:i w:val="0"/>
          <w:sz w:val="17"/>
          <w:vertAlign w:val="subscript"/>
        </w:rPr>
        <w:t>final</w:t>
      </w:r>
      <w:r>
        <w:rPr>
          <w:rFonts w:ascii="Arial" w:hAnsi="Arial"/>
          <w:b w:val="0"/>
          <w:i w:val="0"/>
          <w:sz w:val="17"/>
        </w:rPr>
        <w:t xml:space="preserve"> (evaluated directly via kinetic ODEs), and (c) physiological wetting angle θ</w:t>
      </w:r>
      <w:r>
        <w:rPr>
          <w:rFonts w:ascii="Arial" w:hAnsi="Arial"/>
          <w:b w:val="0"/>
          <w:i w:val="0"/>
          <w:sz w:val="17"/>
          <w:vertAlign w:val="subscript"/>
        </w:rPr>
        <w:t>c</w:t>
      </w:r>
      <w:r>
        <w:rPr>
          <w:rFonts w:ascii="Arial" w:hAnsi="Arial"/>
          <w:b w:val="0"/>
          <w:i w:val="0"/>
          <w:sz w:val="17"/>
        </w:rPr>
        <w:t xml:space="preserve"> at 37 °C (evaluated directly from the bulk binodal and the Langmuir surface grand potential). (d-f) Block sensitivity trajectories S</w:t>
      </w:r>
      <w:r>
        <w:rPr>
          <w:rFonts w:ascii="Arial" w:hAnsi="Arial"/>
          <w:b w:val="0"/>
          <w:i w:val="0"/>
          <w:sz w:val="17"/>
          <w:vertAlign w:val="subscript"/>
        </w:rPr>
        <w:t>Ti</w:t>
      </w:r>
      <w:r>
        <w:rPr>
          <w:rFonts w:ascii="Arial" w:hAnsi="Arial"/>
          <w:b w:val="0"/>
          <w:i w:val="0"/>
          <w:sz w:val="17"/>
        </w:rPr>
        <w:t>(N) across dyadic sub-block sample sizes N ∈ {128, 256, 512, 1024} for the same three outputs; total-effect indices vary by less than 0.02 beyond N = 256 and every bootstrap confidence interval narrows monotonically toward the final N</w:t>
      </w:r>
      <w:r>
        <w:rPr>
          <w:rFonts w:ascii="Arial" w:hAnsi="Arial"/>
          <w:b w:val="0"/>
          <w:i w:val="0"/>
          <w:sz w:val="17"/>
          <w:vertAlign w:val="subscript"/>
        </w:rPr>
        <w:t>base</w:t>
      </w:r>
      <w:r>
        <w:rPr>
          <w:rFonts w:ascii="Arial" w:hAnsi="Arial"/>
          <w:b w:val="0"/>
          <w:i w:val="0"/>
          <w:sz w:val="17"/>
        </w:rPr>
        <w:t xml:space="preserve"> = 1024 estimate.</w:t>
      </w:r>
    </w:p>
    <w:p>
      <w:pPr>
        <w:spacing w:before="200" w:after="60"/>
      </w:pPr>
      <w:r>
        <w:rPr>
          <w:rFonts w:ascii="Arial" w:hAnsi="Arial"/>
          <w:b/>
          <w:sz w:val="21"/>
        </w:rPr>
        <w:t>2.6 Comparison with Recent Literature and Model Limitations</w:t>
      </w:r>
    </w:p>
    <w:p>
      <w:pPr>
        <w:spacing w:after="100"/>
      </w:pPr>
      <w:r>
        <w:rPr>
          <w:rFonts w:ascii="Arial" w:hAnsi="Arial"/>
          <w:b w:val="0"/>
          <w:i w:val="0"/>
          <w:sz w:val="20"/>
        </w:rP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rPr>
          <w:rFonts w:ascii="Arial" w:hAnsi="Arial"/>
          <w:b w:val="0"/>
          <w:i w:val="0"/>
          <w:sz w:val="20"/>
        </w:rPr>
        <w:t>We state the model's limitations and domain of validity explicitly. (i) This work is deliberately formulated as a predictive theoretical study: bulk phase separation is parameterized against published Tau K18 turbidity measurements [5], whereas the nanomaterial-dependent adsorption, wetting, and kinetic outputs are presented as prospective, falsifiable model-scenario predictions rather than as direct experimental validation. (ii) Tau K18 is an experimentally well-characterized four-repeat (R1-R4) construct that contains the principal amyloidogenic hexapeptide motifs (VQIINK in R2, VQIVYK in R3); extrapolation to full-length Tau (Tau-441), which carries large charged projection domains and a distinct regulatory phosphorylation landscape, will require independent parameterization. (iii) φ̃ is an effective coarse-grained order parameter representing lattice occupancy rather than atomistic coordinates. (iv) The solvent is treated implicitly, without explicit conformational dynamics. (v) The adsorption isotherm is idealized as non-cooperative Langmuir binding. (vi) Borophene and MXene are represented as idealized, stable 2D nanosheets, without explicit chemical oxidation or restacking kinetics. (vii) Local surface-termination micro-heterogeneity is not resolved. Future work combining all-atom molecular dynamics with continuum phase-field modeling would provide atomistic resolution of the 2D-interface-induced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rPr>
          <w:rFonts w:ascii="Arial" w:hAnsi="Arial"/>
          <w:b w:val="0"/>
          <w:i w:val="0"/>
          <w:sz w:val="20"/>
        </w:rPr>
        <w:t>The dimensionless Flory-Huggins-Voorn-Overbeek free energy density [10,11] is:</w:t>
      </w:r>
    </w:p>
    <w:p>
      <w:pPr>
        <w:spacing w:before="60" w:after="100"/>
        <w:jc w:val="center"/>
      </w:pPr>
      <w:r>
        <w:rPr>
          <w:rFonts w:ascii="Arial" w:hAnsi="Arial"/>
          <w:b w:val="0"/>
          <w:i/>
          <w:sz w:val="20"/>
        </w:rPr>
        <w:t>f(φ̃) = (φ̃ / N</w:t>
      </w:r>
      <w:r>
        <w:rPr>
          <w:rFonts w:ascii="Arial" w:hAnsi="Arial"/>
          <w:b w:val="0"/>
          <w:i w:val="0"/>
          <w:sz w:val="20"/>
          <w:vertAlign w:val="subscript"/>
        </w:rPr>
        <w:t>eff</w:t>
      </w:r>
      <w:r>
        <w:rPr>
          <w:rFonts w:ascii="Arial" w:hAnsi="Arial"/>
          <w:b w:val="0"/>
          <w:i/>
          <w:sz w:val="20"/>
        </w:rPr>
        <w:t>) ln φ̃ + (1 - φ̃) ln(1 - φ̃) + χ(T) φ̃ (1 - φ̃) - α</w:t>
      </w:r>
      <w:r>
        <w:rPr>
          <w:rFonts w:ascii="Arial" w:hAnsi="Arial"/>
          <w:b w:val="0"/>
          <w:i w:val="0"/>
          <w:sz w:val="20"/>
          <w:vertAlign w:val="subscript"/>
        </w:rPr>
        <w:t>DH</w:t>
      </w:r>
      <w:r>
        <w:rPr>
          <w:rFonts w:ascii="Arial" w:hAnsi="Arial"/>
          <w:b w:val="0"/>
          <w:i/>
          <w:sz w:val="20"/>
        </w:rPr>
        <w:t xml:space="preserve"> (I / I</w:t>
      </w:r>
      <w:r>
        <w:rPr>
          <w:rFonts w:ascii="Arial" w:hAnsi="Arial"/>
          <w:b w:val="0"/>
          <w:i w:val="0"/>
          <w:sz w:val="20"/>
          <w:vertAlign w:val="subscript"/>
        </w:rPr>
        <w:t>0</w:t>
      </w:r>
      <w:r>
        <w:rPr>
          <w:rFonts w:ascii="Arial" w:hAnsi="Arial"/>
          <w:b w:val="0"/>
          <w:i/>
          <w:sz w:val="20"/>
        </w:rPr>
        <w:t>)</w:t>
      </w:r>
      <w:r>
        <w:rPr>
          <w:rFonts w:ascii="Arial" w:hAnsi="Arial"/>
          <w:b w:val="0"/>
          <w:i w:val="0"/>
          <w:sz w:val="20"/>
          <w:vertAlign w:val="superscript"/>
        </w:rPr>
        <w:t>3/2</w:t>
      </w:r>
      <w:r>
        <w:rPr>
          <w:rFonts w:ascii="Arial" w:hAnsi="Arial"/>
          <w:b w:val="0"/>
          <w:i/>
          <w:sz w:val="20"/>
        </w:rPr>
        <w:t xml:space="preserve"> [φ̃ / (φ̃ + φ</w:t>
      </w:r>
      <w:r>
        <w:rPr>
          <w:rFonts w:ascii="Arial" w:hAnsi="Arial"/>
          <w:b w:val="0"/>
          <w:i w:val="0"/>
          <w:sz w:val="20"/>
          <w:vertAlign w:val="subscript"/>
        </w:rPr>
        <w:t>0</w:t>
      </w:r>
      <w:r>
        <w:rPr>
          <w:rFonts w:ascii="Arial" w:hAnsi="Arial"/>
          <w:b w:val="0"/>
          <w:i/>
          <w:sz w:val="20"/>
        </w:rPr>
        <w:t>)]</w:t>
      </w:r>
    </w:p>
    <w:p>
      <w:pPr>
        <w:spacing w:after="100"/>
      </w:pPr>
      <w:r>
        <w:rPr>
          <w:rFonts w:ascii="Arial" w:hAnsi="Arial"/>
          <w:b w:val="0"/>
          <w:i w:val="0"/>
          <w:sz w:val="20"/>
        </w:rPr>
        <w:t>where χ(T) = χ</w:t>
      </w:r>
      <w:r>
        <w:rPr>
          <w:rFonts w:ascii="Arial" w:hAnsi="Arial"/>
          <w:b w:val="0"/>
          <w:i w:val="0"/>
          <w:sz w:val="20"/>
          <w:vertAlign w:val="subscript"/>
        </w:rPr>
        <w:t>c</w:t>
      </w:r>
      <w:r>
        <w:rPr>
          <w:rFonts w:ascii="Arial" w:hAnsi="Arial"/>
          <w:b w:val="0"/>
          <w:i w:val="0"/>
          <w:sz w:val="20"/>
        </w:rPr>
        <w:t xml:space="preserve"> + β (T - T</w:t>
      </w:r>
      <w:r>
        <w:rPr>
          <w:rFonts w:ascii="Arial" w:hAnsi="Arial"/>
          <w:b w:val="0"/>
          <w:i w:val="0"/>
          <w:sz w:val="20"/>
          <w:vertAlign w:val="subscript"/>
        </w:rPr>
        <w:t>c,K</w:t>
      </w:r>
      <w:r>
        <w:rPr>
          <w:rFonts w:ascii="Arial" w:hAnsi="Arial"/>
          <w:b w:val="0"/>
          <w:i w:val="0"/>
          <w:sz w:val="20"/>
        </w:rPr>
        <w:t>) encodes LCST thermal sensitivity, and the critical parameters (φ</w:t>
      </w:r>
      <w:r>
        <w:rPr>
          <w:rFonts w:ascii="Arial" w:hAnsi="Arial"/>
          <w:b w:val="0"/>
          <w:i w:val="0"/>
          <w:sz w:val="20"/>
          <w:vertAlign w:val="subscript"/>
        </w:rPr>
        <w:t>c</w:t>
      </w:r>
      <w:r>
        <w:rPr>
          <w:rFonts w:ascii="Arial" w:hAnsi="Arial"/>
          <w:b w:val="0"/>
          <w:i w:val="0"/>
          <w:sz w:val="20"/>
        </w:rPr>
        <w:t xml:space="preserve"> = 0.247, χ</w:t>
      </w:r>
      <w:r>
        <w:rPr>
          <w:rFonts w:ascii="Arial" w:hAnsi="Arial"/>
          <w:b w:val="0"/>
          <w:i w:val="0"/>
          <w:sz w:val="20"/>
          <w:vertAlign w:val="subscript"/>
        </w:rPr>
        <w:t>c</w:t>
      </w:r>
      <w:r>
        <w:rPr>
          <w:rFonts w:ascii="Arial" w:hAnsi="Arial"/>
          <w:b w:val="0"/>
          <w:i w:val="0"/>
          <w:sz w:val="20"/>
        </w:rPr>
        <w:t xml:space="preserve"> = 0.872) are solved numerically from f''(φ</w:t>
      </w:r>
      <w:r>
        <w:rPr>
          <w:rFonts w:ascii="Arial" w:hAnsi="Arial"/>
          <w:b w:val="0"/>
          <w:i w:val="0"/>
          <w:sz w:val="20"/>
          <w:vertAlign w:val="subscript"/>
        </w:rPr>
        <w:t>c</w:t>
      </w:r>
      <w:r>
        <w:rPr>
          <w:rFonts w:ascii="Arial" w:hAnsi="Arial"/>
          <w:b w:val="0"/>
          <w:i w:val="0"/>
          <w:sz w:val="20"/>
        </w:rPr>
        <w:t>) = 0 and f'''(φ</w:t>
      </w:r>
      <w:r>
        <w:rPr>
          <w:rFonts w:ascii="Arial" w:hAnsi="Arial"/>
          <w:b w:val="0"/>
          <w:i w:val="0"/>
          <w:sz w:val="20"/>
          <w:vertAlign w:val="subscript"/>
        </w:rPr>
        <w:t>c</w:t>
      </w:r>
      <w:r>
        <w:rPr>
          <w:rFonts w:ascii="Arial" w:hAnsi="Arial"/>
          <w:b w:val="0"/>
          <w:i w:val="0"/>
          <w:sz w:val="20"/>
        </w:rPr>
        <w:t>)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i w:val="0"/>
                <w:sz w:val="17"/>
              </w:rPr>
              <w:t>Parameter</w:t>
            </w:r>
          </w:p>
        </w:tc>
        <w:tc>
          <w:tcPr>
            <w:tcW w:type="dxa" w:w="1872"/>
            <w:shd w:fill="E2E8F0"/>
            <w:tcMar>
              <w:top w:w="80" w:type="dxa"/>
              <w:bottom w:w="80" w:type="dxa"/>
              <w:left w:w="100" w:type="dxa"/>
              <w:right w:w="100" w:type="dxa"/>
            </w:tcMar>
          </w:tcPr>
          <w:p>
            <w:pPr>
              <w:spacing w:after="40" w:before="40"/>
            </w:pPr>
            <w:r>
              <w:rPr>
                <w:rFonts w:ascii="Arial" w:hAnsi="Arial"/>
                <w:b/>
                <w:i w:val="0"/>
                <w:sz w:val="17"/>
              </w:rPr>
              <w:t>Symbol</w:t>
            </w:r>
          </w:p>
        </w:tc>
        <w:tc>
          <w:tcPr>
            <w:tcW w:type="dxa" w:w="1872"/>
            <w:shd w:fill="E2E8F0"/>
            <w:tcMar>
              <w:top w:w="80" w:type="dxa"/>
              <w:bottom w:w="80" w:type="dxa"/>
              <w:left w:w="100" w:type="dxa"/>
              <w:right w:w="100" w:type="dxa"/>
            </w:tcMar>
          </w:tcPr>
          <w:p>
            <w:pPr>
              <w:spacing w:after="40" w:before="40"/>
            </w:pPr>
            <w:r>
              <w:rPr>
                <w:rFonts w:ascii="Arial" w:hAnsi="Arial"/>
                <w:b/>
                <w:i w:val="0"/>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i w:val="0"/>
                <w:sz w:val="17"/>
              </w:rPr>
              <w:t>Units</w:t>
            </w:r>
          </w:p>
        </w:tc>
        <w:tc>
          <w:tcPr>
            <w:tcW w:type="dxa" w:w="1872"/>
            <w:shd w:fill="E2E8F0"/>
            <w:tcMar>
              <w:top w:w="80" w:type="dxa"/>
              <w:bottom w:w="80" w:type="dxa"/>
              <w:left w:w="100" w:type="dxa"/>
              <w:right w:w="100" w:type="dxa"/>
            </w:tcMar>
          </w:tcPr>
          <w:p>
            <w:pPr>
              <w:spacing w:after="40" w:before="40"/>
            </w:pPr>
            <w:r>
              <w:rPr>
                <w:rFonts w:ascii="Arial" w:hAnsi="Arial"/>
                <w:b/>
                <w:i w:val="0"/>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N</w:t>
            </w:r>
            <w:r>
              <w:rPr>
                <w:rFonts w:ascii="Arial" w:hAnsi="Arial"/>
                <w:b w:val="0"/>
                <w:i w:val="0"/>
                <w:sz w:val="17"/>
                <w:vertAlign w:val="subscript"/>
              </w:rPr>
              <w:t>eff</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10.0</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b w:val="0"/>
                <w:i w:val="0"/>
                <w:sz w:val="17"/>
              </w:rPr>
              <w:t>Parameterized Critical Temp.</w:t>
            </w:r>
          </w:p>
        </w:tc>
        <w:tc>
          <w:tcPr>
            <w:tcW w:type="dxa" w:w="1872"/>
            <w:tcMar>
              <w:top w:w="80" w:type="dxa"/>
              <w:bottom w:w="80" w:type="dxa"/>
              <w:left w:w="100" w:type="dxa"/>
              <w:right w:w="100" w:type="dxa"/>
            </w:tcMar>
          </w:tcPr>
          <w:p>
            <w:pPr>
              <w:spacing w:after="40" w:before="40"/>
            </w:pPr>
            <w:r>
              <w:rPr>
                <w:rFonts w:ascii="Arial" w:hAnsi="Arial"/>
                <w:b w:val="0"/>
                <w:i w:val="0"/>
                <w:sz w:val="17"/>
              </w:rPr>
              <w:t>T</w:t>
            </w:r>
            <w:r>
              <w:rPr>
                <w:rFonts w:ascii="Arial" w:hAnsi="Arial"/>
                <w:b w:val="0"/>
                <w:i w:val="0"/>
                <w:sz w:val="17"/>
                <w:vertAlign w:val="subscript"/>
              </w:rPr>
              <w:t>c</w:t>
            </w:r>
          </w:p>
        </w:tc>
        <w:tc>
          <w:tcPr>
            <w:tcW w:type="dxa" w:w="1872"/>
            <w:tcMar>
              <w:top w:w="80" w:type="dxa"/>
              <w:bottom w:w="80" w:type="dxa"/>
              <w:left w:w="100" w:type="dxa"/>
              <w:right w:w="100" w:type="dxa"/>
            </w:tcMar>
          </w:tcPr>
          <w:p>
            <w:pPr>
              <w:spacing w:after="40" w:before="40"/>
            </w:pPr>
            <w:r>
              <w:rPr>
                <w:rFonts w:ascii="Arial" w:hAnsi="Arial"/>
                <w:b w:val="0"/>
                <w:i w:val="0"/>
                <w:sz w:val="17"/>
              </w:rPr>
              <w:t>8.5 (281.65)</w:t>
            </w:r>
          </w:p>
        </w:tc>
        <w:tc>
          <w:tcPr>
            <w:tcW w:type="dxa" w:w="1872"/>
            <w:tcMar>
              <w:top w:w="80" w:type="dxa"/>
              <w:bottom w:w="80" w:type="dxa"/>
              <w:left w:w="100" w:type="dxa"/>
              <w:right w:w="100" w:type="dxa"/>
            </w:tcMar>
          </w:tcPr>
          <w:p>
            <w:pPr>
              <w:spacing w:after="40" w:before="40"/>
            </w:pPr>
            <w:r>
              <w:rPr>
                <w:rFonts w:ascii="Arial" w:hAnsi="Arial"/>
                <w:b w:val="0"/>
                <w:i w:val="0"/>
                <w:sz w:val="17"/>
              </w:rPr>
              <w:t>°C (K)</w:t>
            </w:r>
          </w:p>
        </w:tc>
        <w:tc>
          <w:tcPr>
            <w:tcW w:type="dxa" w:w="1872"/>
            <w:tcMar>
              <w:top w:w="80" w:type="dxa"/>
              <w:bottom w:w="80" w:type="dxa"/>
              <w:left w:w="100" w:type="dxa"/>
              <w:right w:w="100" w:type="dxa"/>
            </w:tcMar>
          </w:tcPr>
          <w:p>
            <w:pPr>
              <w:spacing w:after="40" w:before="40"/>
            </w:pPr>
            <w:r>
              <w:rPr>
                <w:rFonts w:ascii="Arial" w:hAnsi="Arial"/>
                <w:b w:val="0"/>
                <w:i w:val="0"/>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(φ</w:t>
            </w:r>
            <w:r>
              <w:rPr>
                <w:rFonts w:ascii="Arial" w:hAnsi="Arial"/>
                <w:b w:val="0"/>
                <w:i w:val="0"/>
                <w:sz w:val="17"/>
                <w:vertAlign w:val="subscript"/>
              </w:rPr>
              <w:t>c</w:t>
            </w:r>
            <w:r>
              <w:rPr>
                <w:rFonts w:ascii="Arial" w:hAnsi="Arial"/>
                <w:b w:val="0"/>
                <w:i w:val="0"/>
                <w:sz w:val="17"/>
              </w:rPr>
              <w:t>, χ</w:t>
            </w:r>
            <w:r>
              <w:rPr>
                <w:rFonts w:ascii="Arial" w:hAnsi="Arial"/>
                <w:b w:val="0"/>
                <w:i w:val="0"/>
                <w:sz w:val="17"/>
                <w:vertAlign w:val="subscript"/>
              </w:rPr>
              <w:t>c</w:t>
            </w:r>
            <w:r>
              <w:rPr>
                <w:rFonts w:ascii="Arial" w:hAnsi="Arial"/>
                <w:b w:val="0"/>
                <w:i w:val="0"/>
                <w:sz w:val="17"/>
              </w:rPr>
              <w: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(0.247, 0.872)</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b w:val="0"/>
                <w:i w:val="0"/>
                <w:sz w:val="17"/>
              </w:rPr>
              <w:t>Thermal LCST Slope</w:t>
            </w:r>
          </w:p>
        </w:tc>
        <w:tc>
          <w:tcPr>
            <w:tcW w:type="dxa" w:w="1872"/>
            <w:tcMar>
              <w:top w:w="80" w:type="dxa"/>
              <w:bottom w:w="80" w:type="dxa"/>
              <w:left w:w="100" w:type="dxa"/>
              <w:right w:w="100" w:type="dxa"/>
            </w:tcMar>
          </w:tcPr>
          <w:p>
            <w:pPr>
              <w:spacing w:after="40" w:before="40"/>
            </w:pPr>
            <w:r>
              <w:rPr>
                <w:rFonts w:ascii="Arial" w:hAnsi="Arial"/>
                <w:b w:val="0"/>
                <w:i w:val="0"/>
                <w:sz w:val="17"/>
              </w:rPr>
              <w:t>β</w:t>
            </w:r>
          </w:p>
        </w:tc>
        <w:tc>
          <w:tcPr>
            <w:tcW w:type="dxa" w:w="1872"/>
            <w:tcMar>
              <w:top w:w="80" w:type="dxa"/>
              <w:bottom w:w="80" w:type="dxa"/>
              <w:left w:w="100" w:type="dxa"/>
              <w:right w:w="100" w:type="dxa"/>
            </w:tcMar>
          </w:tcPr>
          <w:p>
            <w:pPr>
              <w:spacing w:after="40" w:before="40"/>
            </w:pPr>
            <w:r>
              <w:rPr>
                <w:rFonts w:ascii="Arial" w:hAnsi="Arial"/>
                <w:b w:val="0"/>
                <w:i w:val="0"/>
                <w:sz w:val="17"/>
              </w:rPr>
              <w:t>0.0090</w:t>
            </w:r>
          </w:p>
        </w:tc>
        <w:tc>
          <w:tcPr>
            <w:tcW w:type="dxa" w:w="1872"/>
            <w:tcMar>
              <w:top w:w="80" w:type="dxa"/>
              <w:bottom w:w="80" w:type="dxa"/>
              <w:left w:w="100" w:type="dxa"/>
              <w:right w:w="100" w:type="dxa"/>
            </w:tcMar>
          </w:tcPr>
          <w:p>
            <w:pPr>
              <w:spacing w:after="40" w:before="40"/>
            </w:pPr>
            <w:r>
              <w:rPr>
                <w:rFonts w:ascii="Arial" w:hAnsi="Arial"/>
                <w:b w:val="0"/>
                <w:i w:val="0"/>
                <w:sz w:val="17"/>
              </w:rPr>
              <w:t>K⁻¹</w:t>
            </w:r>
          </w:p>
        </w:tc>
        <w:tc>
          <w:tcPr>
            <w:tcW w:type="dxa" w:w="1872"/>
            <w:tcMar>
              <w:top w:w="80" w:type="dxa"/>
              <w:bottom w:w="80" w:type="dxa"/>
              <w:left w:w="100" w:type="dxa"/>
              <w:right w:w="100" w:type="dxa"/>
            </w:tcMar>
          </w:tcPr>
          <w:p>
            <w:pPr>
              <w:spacing w:after="40" w:before="40"/>
            </w:pPr>
            <w:r>
              <w:rPr>
                <w:rFonts w:ascii="Arial" w:hAnsi="Arial"/>
                <w:b w:val="0"/>
                <w:i w:val="0"/>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v</w:t>
            </w:r>
            <w:r>
              <w:rPr>
                <w:rFonts w:ascii="Arial" w:hAnsi="Arial"/>
                <w:b w:val="0"/>
                <w:i w:val="0"/>
                <w:sz w:val="17"/>
                <w:vertAlign w:val="subscript"/>
              </w:rPr>
              <w:t>dry</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17.2</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nm³</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Calculated: MW / (ρ * N</w:t>
            </w:r>
            <w:r>
              <w:rPr>
                <w:rFonts w:ascii="Arial" w:hAnsi="Arial"/>
                <w:b w:val="0"/>
                <w:i w:val="0"/>
                <w:sz w:val="17"/>
                <w:vertAlign w:val="subscript"/>
              </w:rPr>
              <w:t>A</w:t>
            </w:r>
            <w:r>
              <w:rPr>
                <w:rFonts w:ascii="Arial" w:hAnsi="Arial"/>
                <w:b w:val="0"/>
                <w:i w:val="0"/>
                <w:sz w:val="17"/>
              </w:rPr>
              <w:t>) with ρ = 1.35 g/cm³</w:t>
            </w:r>
          </w:p>
        </w:tc>
      </w:tr>
      <w:tr>
        <w:tc>
          <w:tcPr>
            <w:tcW w:type="dxa" w:w="1872"/>
            <w:tcMar>
              <w:top w:w="80" w:type="dxa"/>
              <w:bottom w:w="80" w:type="dxa"/>
              <w:left w:w="100" w:type="dxa"/>
              <w:right w:w="100" w:type="dxa"/>
            </w:tcMar>
          </w:tcPr>
          <w:p>
            <w:pPr>
              <w:spacing w:after="40" w:before="40"/>
            </w:pPr>
            <w:r>
              <w:rPr>
                <w:rFonts w:ascii="Arial" w:hAnsi="Arial"/>
                <w:b w:val="0"/>
                <w:i w:val="0"/>
                <w:sz w:val="17"/>
              </w:rPr>
              <w:t>Hydrodynamic Radius</w:t>
            </w:r>
          </w:p>
        </w:tc>
        <w:tc>
          <w:tcPr>
            <w:tcW w:type="dxa" w:w="1872"/>
            <w:tcMar>
              <w:top w:w="80" w:type="dxa"/>
              <w:bottom w:w="80" w:type="dxa"/>
              <w:left w:w="100" w:type="dxa"/>
              <w:right w:w="100" w:type="dxa"/>
            </w:tcMar>
          </w:tcPr>
          <w:p>
            <w:pPr>
              <w:spacing w:after="40" w:before="40"/>
            </w:pPr>
            <w:r>
              <w:rPr>
                <w:rFonts w:ascii="Arial" w:hAnsi="Arial"/>
                <w:b w:val="0"/>
                <w:i w:val="0"/>
                <w:sz w:val="17"/>
              </w:rPr>
              <w:t>R</w:t>
            </w:r>
            <w:r>
              <w:rPr>
                <w:rFonts w:ascii="Arial" w:hAnsi="Arial"/>
                <w:b w:val="0"/>
                <w:i w:val="0"/>
                <w:sz w:val="17"/>
                <w:vertAlign w:val="subscript"/>
              </w:rPr>
              <w:t>h</w:t>
            </w:r>
          </w:p>
        </w:tc>
        <w:tc>
          <w:tcPr>
            <w:tcW w:type="dxa" w:w="1872"/>
            <w:tcMar>
              <w:top w:w="80" w:type="dxa"/>
              <w:bottom w:w="80" w:type="dxa"/>
              <w:left w:w="100" w:type="dxa"/>
              <w:right w:w="100" w:type="dxa"/>
            </w:tcMar>
          </w:tcPr>
          <w:p>
            <w:pPr>
              <w:spacing w:after="40" w:before="40"/>
            </w:pPr>
            <w:r>
              <w:rPr>
                <w:rFonts w:ascii="Arial" w:hAnsi="Arial"/>
                <w:b w:val="0"/>
                <w:i w:val="0"/>
                <w:sz w:val="17"/>
              </w:rPr>
              <w:t>3.4 ± 0.6</w:t>
            </w:r>
          </w:p>
        </w:tc>
        <w:tc>
          <w:tcPr>
            <w:tcW w:type="dxa" w:w="1872"/>
            <w:tcMar>
              <w:top w:w="80" w:type="dxa"/>
              <w:bottom w:w="80" w:type="dxa"/>
              <w:left w:w="100" w:type="dxa"/>
              <w:right w:w="100" w:type="dxa"/>
            </w:tcMar>
          </w:tcPr>
          <w:p>
            <w:pPr>
              <w:spacing w:after="40" w:before="40"/>
            </w:pPr>
            <w:r>
              <w:rPr>
                <w:rFonts w:ascii="Arial" w:hAnsi="Arial"/>
                <w:b w:val="0"/>
                <w:i w:val="0"/>
                <w:sz w:val="17"/>
              </w:rPr>
              <w:t>nm</w:t>
            </w:r>
          </w:p>
        </w:tc>
        <w:tc>
          <w:tcPr>
            <w:tcW w:type="dxa" w:w="1872"/>
            <w:tcMar>
              <w:top w:w="80" w:type="dxa"/>
              <w:bottom w:w="80" w:type="dxa"/>
              <w:left w:w="100" w:type="dxa"/>
              <w:right w:w="100" w:type="dxa"/>
            </w:tcMar>
          </w:tcPr>
          <w:p>
            <w:pPr>
              <w:spacing w:after="40" w:before="40"/>
            </w:pPr>
            <w:r>
              <w:rPr>
                <w:rFonts w:ascii="Arial" w:hAnsi="Arial"/>
                <w:b w:val="0"/>
                <w:i w:val="0"/>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v</w:t>
            </w:r>
            <w:r>
              <w:rPr>
                <w:rFonts w:ascii="Arial" w:hAnsi="Arial"/>
                <w:b w:val="0"/>
                <w:i w:val="0"/>
                <w:sz w:val="17"/>
                <w:vertAlign w:val="subscript"/>
              </w:rPr>
              <w:t>coil</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164.6</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nm³</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b w:val="0"/>
                <w:i w:val="0"/>
                <w:sz w:val="17"/>
              </w:rPr>
              <w:t>Molar Overlap Conc.</w:t>
            </w:r>
          </w:p>
        </w:tc>
        <w:tc>
          <w:tcPr>
            <w:tcW w:type="dxa" w:w="1872"/>
            <w:tcMar>
              <w:top w:w="80" w:type="dxa"/>
              <w:bottom w:w="80" w:type="dxa"/>
              <w:left w:w="100" w:type="dxa"/>
              <w:right w:w="100" w:type="dxa"/>
            </w:tcMar>
          </w:tcPr>
          <w:p>
            <w:pPr>
              <w:spacing w:after="40" w:before="40"/>
            </w:pPr>
            <w:r>
              <w:rPr>
                <w:rFonts w:ascii="Arial" w:hAnsi="Arial"/>
                <w:b w:val="0"/>
                <w:i w:val="0"/>
                <w:sz w:val="17"/>
              </w:rPr>
              <w:t>c*</w:t>
            </w:r>
            <w:r>
              <w:rPr>
                <w:rFonts w:ascii="Arial" w:hAnsi="Arial"/>
                <w:b w:val="0"/>
                <w:i w:val="0"/>
                <w:sz w:val="17"/>
                <w:vertAlign w:val="subscript"/>
              </w:rPr>
              <w:t>molar</w:t>
            </w:r>
          </w:p>
        </w:tc>
        <w:tc>
          <w:tcPr>
            <w:tcW w:type="dxa" w:w="1872"/>
            <w:tcMar>
              <w:top w:w="80" w:type="dxa"/>
              <w:bottom w:w="80" w:type="dxa"/>
              <w:left w:w="100" w:type="dxa"/>
              <w:right w:w="100" w:type="dxa"/>
            </w:tcMar>
          </w:tcPr>
          <w:p>
            <w:pPr>
              <w:spacing w:after="40" w:before="40"/>
            </w:pPr>
            <w:r>
              <w:rPr>
                <w:rFonts w:ascii="Arial" w:hAnsi="Arial"/>
                <w:b w:val="0"/>
                <w:i w:val="0"/>
                <w:sz w:val="17"/>
              </w:rPr>
              <w:t>10.1</w:t>
            </w:r>
          </w:p>
        </w:tc>
        <w:tc>
          <w:tcPr>
            <w:tcW w:type="dxa" w:w="1872"/>
            <w:tcMar>
              <w:top w:w="80" w:type="dxa"/>
              <w:bottom w:w="80" w:type="dxa"/>
              <w:left w:w="100" w:type="dxa"/>
              <w:right w:w="100" w:type="dxa"/>
            </w:tcMar>
          </w:tcPr>
          <w:p>
            <w:pPr>
              <w:spacing w:after="40" w:before="40"/>
            </w:pPr>
            <w:r>
              <w:rPr>
                <w:rFonts w:ascii="Arial" w:hAnsi="Arial"/>
                <w:b w:val="0"/>
                <w:i w:val="0"/>
                <w:sz w:val="17"/>
              </w:rPr>
              <w:t>mM</w:t>
            </w:r>
          </w:p>
        </w:tc>
        <w:tc>
          <w:tcPr>
            <w:tcW w:type="dxa" w:w="1872"/>
            <w:tcMar>
              <w:top w:w="80" w:type="dxa"/>
              <w:bottom w:w="80" w:type="dxa"/>
              <w:left w:w="100" w:type="dxa"/>
              <w:right w:w="100" w:type="dxa"/>
            </w:tcMar>
          </w:tcPr>
          <w:p>
            <w:pPr>
              <w:spacing w:after="40" w:before="40"/>
            </w:pPr>
            <w:r>
              <w:rPr>
                <w:rFonts w:ascii="Arial" w:hAnsi="Arial"/>
                <w:b w:val="0"/>
                <w:i w:val="0"/>
                <w:sz w:val="17"/>
              </w:rPr>
              <w:t>Overlap threshold: 3 / (4 pi N</w:t>
            </w:r>
            <w:r>
              <w:rPr>
                <w:rFonts w:ascii="Arial" w:hAnsi="Arial"/>
                <w:b w:val="0"/>
                <w:i w:val="0"/>
                <w:sz w:val="17"/>
                <w:vertAlign w:val="subscript"/>
              </w:rPr>
              <w:t>A</w:t>
            </w:r>
            <w:r>
              <w:rPr>
                <w:rFonts w:ascii="Arial" w:hAnsi="Arial"/>
                <w:b w:val="0"/>
                <w:i w:val="0"/>
                <w:sz w:val="17"/>
              </w:rPr>
              <w:t xml:space="preserve"> Rh³)</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c*</w:t>
            </w:r>
            <w:r>
              <w:rPr>
                <w:rFonts w:ascii="Arial" w:hAnsi="Arial"/>
                <w:b w:val="0"/>
                <w:i w:val="0"/>
                <w:sz w:val="17"/>
                <w:vertAlign w:val="subscript"/>
              </w:rPr>
              <w:t>mass</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141.2</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g/L</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Overlap mass concentration: 3 MW / (4 pi N</w:t>
            </w:r>
            <w:r>
              <w:rPr>
                <w:rFonts w:ascii="Arial" w:hAnsi="Arial"/>
                <w:b w:val="0"/>
                <w:i w:val="0"/>
                <w:sz w:val="17"/>
                <w:vertAlign w:val="subscript"/>
              </w:rPr>
              <w:t>A</w:t>
            </w:r>
            <w:r>
              <w:rPr>
                <w:rFonts w:ascii="Arial" w:hAnsi="Arial"/>
                <w:b w:val="0"/>
                <w:i w:val="0"/>
                <w:sz w:val="17"/>
              </w:rPr>
              <w:t xml:space="preserve"> Rh³)</w:t>
            </w:r>
          </w:p>
        </w:tc>
      </w:tr>
      <w:tr>
        <w:tc>
          <w:tcPr>
            <w:tcW w:type="dxa" w:w="1872"/>
            <w:tcMar>
              <w:top w:w="80" w:type="dxa"/>
              <w:bottom w:w="80" w:type="dxa"/>
              <w:left w:w="100" w:type="dxa"/>
              <w:right w:w="100" w:type="dxa"/>
            </w:tcMar>
          </w:tcPr>
          <w:p>
            <w:pPr>
              <w:spacing w:after="40" w:before="40"/>
            </w:pPr>
            <w:r>
              <w:rPr>
                <w:rFonts w:ascii="Arial" w:hAnsi="Arial"/>
                <w:b w:val="0"/>
                <w:i w:val="0"/>
                <w:sz w:val="17"/>
              </w:rPr>
              <w:t>Order-Parameter Scale</w:t>
            </w:r>
          </w:p>
        </w:tc>
        <w:tc>
          <w:tcPr>
            <w:tcW w:type="dxa" w:w="1872"/>
            <w:tcMar>
              <w:top w:w="80" w:type="dxa"/>
              <w:bottom w:w="80" w:type="dxa"/>
              <w:left w:w="100" w:type="dxa"/>
              <w:right w:w="100" w:type="dxa"/>
            </w:tcMar>
          </w:tcPr>
          <w:p>
            <w:pPr>
              <w:spacing w:after="40" w:before="40"/>
            </w:pPr>
            <w:r>
              <w:rPr>
                <w:rFonts w:ascii="Arial" w:hAnsi="Arial"/>
                <w:b w:val="0"/>
                <w:i w:val="0"/>
                <w:sz w:val="17"/>
              </w:rPr>
              <w:t>s</w:t>
            </w:r>
            <w:r>
              <w:rPr>
                <w:rFonts w:ascii="Arial" w:hAnsi="Arial"/>
                <w:b w:val="0"/>
                <w:i w:val="0"/>
                <w:sz w:val="17"/>
                <w:vertAlign w:val="subscript"/>
              </w:rPr>
              <w:t>φ</w:t>
            </w:r>
          </w:p>
        </w:tc>
        <w:tc>
          <w:tcPr>
            <w:tcW w:type="dxa" w:w="1872"/>
            <w:tcMar>
              <w:top w:w="80" w:type="dxa"/>
              <w:bottom w:w="80" w:type="dxa"/>
              <w:left w:w="100" w:type="dxa"/>
              <w:right w:w="100" w:type="dxa"/>
            </w:tcMar>
          </w:tcPr>
          <w:p>
            <w:pPr>
              <w:spacing w:after="40" w:before="40"/>
            </w:pPr>
            <w:r>
              <w:rPr>
                <w:rFonts w:ascii="Arial" w:hAnsi="Arial"/>
                <w:b w:val="0"/>
                <w:i w:val="0"/>
                <w:sz w:val="17"/>
              </w:rPr>
              <w:t>0.950</w:t>
            </w:r>
          </w:p>
        </w:tc>
        <w:tc>
          <w:tcPr>
            <w:tcW w:type="dxa" w:w="1872"/>
            <w:tcMar>
              <w:top w:w="80" w:type="dxa"/>
              <w:bottom w:w="80" w:type="dxa"/>
              <w:left w:w="100" w:type="dxa"/>
              <w:right w:w="100" w:type="dxa"/>
            </w:tcMar>
          </w:tcPr>
          <w:p>
            <w:pPr>
              <w:spacing w:after="40" w:before="40"/>
            </w:pPr>
            <w:r>
              <w:rPr>
                <w:rFonts w:ascii="Arial" w:hAnsi="Arial"/>
                <w:b w:val="0"/>
                <w:i w:val="0"/>
                <w:sz w:val="17"/>
              </w:rPr>
              <w:t>mM⁻¹</w:t>
            </w:r>
          </w:p>
        </w:tc>
        <w:tc>
          <w:tcPr>
            <w:tcW w:type="dxa" w:w="1872"/>
            <w:tcMar>
              <w:top w:w="80" w:type="dxa"/>
              <w:bottom w:w="80" w:type="dxa"/>
              <w:left w:w="100" w:type="dxa"/>
              <w:right w:w="100" w:type="dxa"/>
            </w:tcMar>
          </w:tcPr>
          <w:p>
            <w:pPr>
              <w:spacing w:after="40" w:before="40"/>
            </w:pPr>
            <w:r>
              <w:rPr>
                <w:rFonts w:ascii="Arial" w:hAnsi="Arial"/>
                <w:b w:val="0"/>
                <w:i w:val="0"/>
                <w:sz w:val="17"/>
              </w:rPr>
              <w:t>Calibrated scale: s</w:t>
            </w:r>
            <w:r>
              <w:rPr>
                <w:rFonts w:ascii="Arial" w:hAnsi="Arial"/>
                <w:b w:val="0"/>
                <w:i w:val="0"/>
                <w:sz w:val="17"/>
                <w:vertAlign w:val="subscript"/>
              </w:rPr>
              <w:t>φ</w:t>
            </w:r>
            <w:r>
              <w:rPr>
                <w:rFonts w:ascii="Arial" w:hAnsi="Arial"/>
                <w:b w:val="0"/>
                <w:i w:val="0"/>
                <w:sz w:val="17"/>
              </w:rPr>
              <w:t xml:space="preserve"> = 9.50×10⁻⁴ µM⁻¹</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α</w:t>
            </w:r>
            <w:r>
              <w:rPr>
                <w:rFonts w:ascii="Arial" w:hAnsi="Arial"/>
                <w:b w:val="0"/>
                <w:i w:val="0"/>
                <w:sz w:val="17"/>
                <w:vertAlign w:val="subscript"/>
              </w:rPr>
              <w:t>DH</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0.08</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b w:val="0"/>
                <w:i w:val="0"/>
                <w:sz w:val="17"/>
              </w:rPr>
              <w:t>Reference Ionic Strength</w:t>
            </w:r>
          </w:p>
        </w:tc>
        <w:tc>
          <w:tcPr>
            <w:tcW w:type="dxa" w:w="1872"/>
            <w:tcMar>
              <w:top w:w="80" w:type="dxa"/>
              <w:bottom w:w="80" w:type="dxa"/>
              <w:left w:w="100" w:type="dxa"/>
              <w:right w:w="100" w:type="dxa"/>
            </w:tcMar>
          </w:tcPr>
          <w:p>
            <w:pPr>
              <w:spacing w:after="40" w:before="40"/>
            </w:pPr>
            <w:r>
              <w:rPr>
                <w:rFonts w:ascii="Arial" w:hAnsi="Arial"/>
                <w:b w:val="0"/>
                <w:i w:val="0"/>
                <w:sz w:val="17"/>
              </w:rPr>
              <w:t>I</w:t>
            </w:r>
            <w:r>
              <w:rPr>
                <w:rFonts w:ascii="Arial" w:hAnsi="Arial"/>
                <w:b w:val="0"/>
                <w:i w:val="0"/>
                <w:sz w:val="17"/>
                <w:vertAlign w:val="subscript"/>
              </w:rPr>
              <w:t>0</w:t>
            </w:r>
          </w:p>
        </w:tc>
        <w:tc>
          <w:tcPr>
            <w:tcW w:type="dxa" w:w="1872"/>
            <w:tcMar>
              <w:top w:w="80" w:type="dxa"/>
              <w:bottom w:w="80" w:type="dxa"/>
              <w:left w:w="100" w:type="dxa"/>
              <w:right w:w="100" w:type="dxa"/>
            </w:tcMar>
          </w:tcPr>
          <w:p>
            <w:pPr>
              <w:spacing w:after="40" w:before="40"/>
            </w:pPr>
            <w:r>
              <w:rPr>
                <w:rFonts w:ascii="Arial" w:hAnsi="Arial"/>
                <w:b w:val="0"/>
                <w:i w:val="0"/>
                <w:sz w:val="17"/>
              </w:rPr>
              <w:t>1.0</w:t>
            </w:r>
          </w:p>
        </w:tc>
        <w:tc>
          <w:tcPr>
            <w:tcW w:type="dxa" w:w="1872"/>
            <w:tcMar>
              <w:top w:w="80" w:type="dxa"/>
              <w:bottom w:w="80" w:type="dxa"/>
              <w:left w:w="100" w:type="dxa"/>
              <w:right w:w="100" w:type="dxa"/>
            </w:tcMar>
          </w:tcPr>
          <w:p>
            <w:pPr>
              <w:spacing w:after="40" w:before="40"/>
            </w:pPr>
            <w:r>
              <w:rPr>
                <w:rFonts w:ascii="Arial" w:hAnsi="Arial"/>
                <w:b w:val="0"/>
                <w:i w:val="0"/>
                <w:sz w:val="17"/>
              </w:rPr>
              <w:t>M</w:t>
            </w:r>
          </w:p>
        </w:tc>
        <w:tc>
          <w:tcPr>
            <w:tcW w:type="dxa" w:w="1872"/>
            <w:tcMar>
              <w:top w:w="80" w:type="dxa"/>
              <w:bottom w:w="80" w:type="dxa"/>
              <w:left w:w="100" w:type="dxa"/>
              <w:right w:w="100" w:type="dxa"/>
            </w:tcMar>
          </w:tcPr>
          <w:p>
            <w:pPr>
              <w:spacing w:after="40" w:before="40"/>
            </w:pPr>
            <w:r>
              <w:rPr>
                <w:rFonts w:ascii="Arial" w:hAnsi="Arial"/>
                <w:b w:val="0"/>
                <w:i w:val="0"/>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φ</w:t>
            </w:r>
            <w:r>
              <w:rPr>
                <w:rFonts w:ascii="Arial" w:hAnsi="Arial"/>
                <w:b w:val="0"/>
                <w:i w:val="0"/>
                <w:sz w:val="17"/>
                <w:vertAlign w:val="subscript"/>
              </w:rPr>
              <w:t>0</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0.02</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b w:val="0"/>
                <w:i w:val="0"/>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b w:val="0"/>
                <w:i w:val="0"/>
                <w:sz w:val="17"/>
              </w:rPr>
              <w:t>b</w:t>
            </w:r>
          </w:p>
        </w:tc>
        <w:tc>
          <w:tcPr>
            <w:tcW w:type="dxa" w:w="1872"/>
            <w:tcMar>
              <w:top w:w="80" w:type="dxa"/>
              <w:bottom w:w="80" w:type="dxa"/>
              <w:left w:w="100" w:type="dxa"/>
              <w:right w:w="100" w:type="dxa"/>
            </w:tcMar>
          </w:tcPr>
          <w:p>
            <w:pPr>
              <w:spacing w:after="40" w:before="40"/>
            </w:pPr>
            <w:r>
              <w:rPr>
                <w:rFonts w:ascii="Arial" w:hAnsi="Arial"/>
                <w:b w:val="0"/>
                <w:i w:val="0"/>
                <w:sz w:val="17"/>
              </w:rPr>
              <w:t>3.4</w:t>
            </w:r>
          </w:p>
        </w:tc>
        <w:tc>
          <w:tcPr>
            <w:tcW w:type="dxa" w:w="1872"/>
            <w:tcMar>
              <w:top w:w="80" w:type="dxa"/>
              <w:bottom w:w="80" w:type="dxa"/>
              <w:left w:w="100" w:type="dxa"/>
              <w:right w:w="100" w:type="dxa"/>
            </w:tcMar>
          </w:tcPr>
          <w:p>
            <w:pPr>
              <w:spacing w:after="40" w:before="40"/>
            </w:pPr>
            <w:r>
              <w:rPr>
                <w:rFonts w:ascii="Arial" w:hAnsi="Arial"/>
                <w:b w:val="0"/>
                <w:i w:val="0"/>
                <w:sz w:val="17"/>
              </w:rPr>
              <w:t>nm</w:t>
            </w:r>
          </w:p>
        </w:tc>
        <w:tc>
          <w:tcPr>
            <w:tcW w:type="dxa" w:w="1872"/>
            <w:tcMar>
              <w:top w:w="80" w:type="dxa"/>
              <w:bottom w:w="80" w:type="dxa"/>
              <w:left w:w="100" w:type="dxa"/>
              <w:right w:w="100" w:type="dxa"/>
            </w:tcMar>
          </w:tcPr>
          <w:p>
            <w:pPr>
              <w:spacing w:after="40" w:before="40"/>
            </w:pPr>
            <w:r>
              <w:rPr>
                <w:rFonts w:ascii="Arial" w:hAnsi="Arial"/>
                <w:b w:val="0"/>
                <w:i w:val="0"/>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v</w:t>
            </w:r>
            <w:r>
              <w:rPr>
                <w:rFonts w:ascii="Arial" w:hAnsi="Arial"/>
                <w:b w:val="0"/>
                <w:i w:val="0"/>
                <w:sz w:val="17"/>
                <w:vertAlign w:val="subscript"/>
              </w:rPr>
              <w:t>ref</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2.85×10⁻²⁵</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m³</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Phenomenological energy density volume (f</w:t>
            </w:r>
            <w:r>
              <w:rPr>
                <w:rFonts w:ascii="Arial" w:hAnsi="Arial"/>
                <w:b w:val="0"/>
                <w:i w:val="0"/>
                <w:sz w:val="17"/>
                <w:vertAlign w:val="subscript"/>
              </w:rPr>
              <w:t>0</w:t>
            </w:r>
            <w:r>
              <w:rPr>
                <w:rFonts w:ascii="Arial" w:hAnsi="Arial"/>
                <w:b w:val="0"/>
                <w:i w:val="0"/>
                <w:sz w:val="17"/>
              </w:rPr>
              <w:t xml:space="preserve"> = 1.50×10⁴ J/m³)</w:t>
            </w:r>
          </w:p>
        </w:tc>
      </w:tr>
      <w:tr>
        <w:tc>
          <w:tcPr>
            <w:tcW w:type="dxa" w:w="1872"/>
            <w:tcMar>
              <w:top w:w="80" w:type="dxa"/>
              <w:bottom w:w="80" w:type="dxa"/>
              <w:left w:w="100" w:type="dxa"/>
              <w:right w:w="100" w:type="dxa"/>
            </w:tcMar>
          </w:tcPr>
          <w:p>
            <w:pPr>
              <w:spacing w:after="40" w:before="40"/>
            </w:pPr>
            <w:r>
              <w:rPr>
                <w:rFonts w:ascii="Arial" w:hAnsi="Arial"/>
                <w:b w:val="0"/>
                <w:i w:val="0"/>
                <w:sz w:val="17"/>
              </w:rPr>
              <w:t>Coupling Anchoring Factor</w:t>
            </w:r>
          </w:p>
        </w:tc>
        <w:tc>
          <w:tcPr>
            <w:tcW w:type="dxa" w:w="1872"/>
            <w:tcMar>
              <w:top w:w="80" w:type="dxa"/>
              <w:bottom w:w="80" w:type="dxa"/>
              <w:left w:w="100" w:type="dxa"/>
              <w:right w:w="100" w:type="dxa"/>
            </w:tcMar>
          </w:tcPr>
          <w:p>
            <w:pPr>
              <w:spacing w:after="40" w:before="40"/>
            </w:pPr>
            <w:r>
              <w:rPr>
                <w:rFonts w:ascii="Arial" w:hAnsi="Arial"/>
                <w:b w:val="0"/>
                <w:i w:val="0"/>
                <w:sz w:val="17"/>
              </w:rPr>
              <w:t>η</w:t>
            </w:r>
            <w:r>
              <w:rPr>
                <w:rFonts w:ascii="Arial" w:hAnsi="Arial"/>
                <w:b w:val="0"/>
                <w:i w:val="0"/>
                <w:sz w:val="17"/>
                <w:vertAlign w:val="subscript"/>
              </w:rPr>
              <w:t>eff</w:t>
            </w:r>
          </w:p>
        </w:tc>
        <w:tc>
          <w:tcPr>
            <w:tcW w:type="dxa" w:w="1872"/>
            <w:tcMar>
              <w:top w:w="80" w:type="dxa"/>
              <w:bottom w:w="80" w:type="dxa"/>
              <w:left w:w="100" w:type="dxa"/>
              <w:right w:w="100" w:type="dxa"/>
            </w:tcMar>
          </w:tcPr>
          <w:p>
            <w:pPr>
              <w:spacing w:after="40" w:before="40"/>
            </w:pPr>
            <w:r>
              <w:rPr>
                <w:rFonts w:ascii="Arial" w:hAnsi="Arial"/>
                <w:b w:val="0"/>
                <w:i w:val="0"/>
                <w:sz w:val="17"/>
              </w:rPr>
              <w:t>0.20×10⁻³</w:t>
            </w:r>
          </w:p>
        </w:tc>
        <w:tc>
          <w:tcPr>
            <w:tcW w:type="dxa" w:w="1872"/>
            <w:tcMar>
              <w:top w:w="80" w:type="dxa"/>
              <w:bottom w:w="80" w:type="dxa"/>
              <w:left w:w="100" w:type="dxa"/>
              <w:right w:w="100" w:type="dxa"/>
            </w:tcMar>
          </w:tcPr>
          <w:p>
            <w:pPr>
              <w:spacing w:after="40" w:before="40"/>
            </w:pPr>
            <w:r>
              <w:rPr>
                <w:rFonts w:ascii="Arial" w:hAnsi="Arial"/>
                <w:b w:val="0"/>
                <w:i w:val="0"/>
                <w:sz w:val="17"/>
              </w:rPr>
              <w:t>—</w:t>
            </w:r>
          </w:p>
        </w:tc>
        <w:tc>
          <w:tcPr>
            <w:tcW w:type="dxa" w:w="1872"/>
            <w:tcMar>
              <w:top w:w="80" w:type="dxa"/>
              <w:bottom w:w="80" w:type="dxa"/>
              <w:left w:w="100" w:type="dxa"/>
              <w:right w:w="100" w:type="dxa"/>
            </w:tcMar>
          </w:tcPr>
          <w:p>
            <w:pPr>
              <w:spacing w:after="40" w:before="40"/>
            </w:pPr>
            <w:r>
              <w:rPr>
                <w:rFonts w:ascii="Arial" w:hAnsi="Arial"/>
                <w:b w:val="0"/>
                <w:i w:val="0"/>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rPr>
          <w:rFonts w:ascii="Arial" w:hAnsi="Arial"/>
          <w:b w:val="0"/>
          <w:i w:val="0"/>
          <w:sz w:val="20"/>
        </w:rPr>
        <w:t>Representative parameter scenarios for aqueous-stabilized borophene nanoflakes and Ti₃C₂Tₓ MXene were informed by audited literature sources and geometric model estimates, as summarized in Table 2. We stress that the adsorption free energies (ΔG</w:t>
      </w:r>
      <w:r>
        <w:rPr>
          <w:rFonts w:ascii="Arial" w:hAnsi="Arial"/>
          <w:b w:val="0"/>
          <w:i w:val="0"/>
          <w:sz w:val="20"/>
          <w:vertAlign w:val="subscript"/>
        </w:rPr>
        <w:t>ads</w:t>
      </w:r>
      <w:r>
        <w:rPr>
          <w:rFonts w:ascii="Arial" w:hAnsi="Arial"/>
          <w:b w:val="0"/>
          <w:i w:val="0"/>
          <w:sz w:val="20"/>
        </w:rPr>
        <w:t xml:space="preserve">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Ti₃C₂Tₓ (Gouveia et al. [29]). The framework is deliberately parameterized so that a</w:t>
      </w:r>
      <w:r>
        <w:rPr>
          <w:rFonts w:ascii="Arial" w:hAnsi="Arial"/>
          <w:b w:val="0"/>
          <w:i w:val="0"/>
          <w:sz w:val="20"/>
          <w:vertAlign w:val="subscript"/>
        </w:rPr>
        <w:t>s</w:t>
      </w:r>
      <w:r>
        <w:rPr>
          <w:rFonts w:ascii="Arial" w:hAnsi="Arial"/>
          <w:b w:val="0"/>
          <w:i w:val="0"/>
          <w:sz w:val="20"/>
        </w:rPr>
        <w:t xml:space="preserve"> and ΔG</w:t>
      </w:r>
      <w:r>
        <w:rPr>
          <w:rFonts w:ascii="Arial" w:hAnsi="Arial"/>
          <w:b w:val="0"/>
          <w:i w:val="0"/>
          <w:sz w:val="20"/>
          <w:vertAlign w:val="subscript"/>
        </w:rPr>
        <w:t>ads</w:t>
      </w:r>
      <w:r>
        <w:rPr>
          <w:rFonts w:ascii="Arial" w:hAnsi="Arial"/>
          <w:b w:val="0"/>
          <w:i w:val="0"/>
          <w:sz w:val="20"/>
        </w:rPr>
        <w:t xml:space="preserve">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i w:val="0"/>
                <w:sz w:val="17"/>
              </w:rPr>
              <w:t>Parameter</w:t>
            </w:r>
          </w:p>
        </w:tc>
        <w:tc>
          <w:tcPr>
            <w:tcW w:type="dxa" w:w="1872"/>
            <w:shd w:fill="E2E8F0"/>
            <w:tcMar>
              <w:top w:w="80" w:type="dxa"/>
              <w:bottom w:w="80" w:type="dxa"/>
              <w:left w:w="100" w:type="dxa"/>
              <w:right w:w="100" w:type="dxa"/>
            </w:tcMar>
          </w:tcPr>
          <w:p>
            <w:pPr>
              <w:spacing w:after="40" w:before="40"/>
            </w:pPr>
            <w:r>
              <w:rPr>
                <w:rFonts w:ascii="Arial" w:hAnsi="Arial"/>
                <w:b/>
                <w:i w:val="0"/>
                <w:sz w:val="17"/>
              </w:rPr>
              <w:t>Symbol</w:t>
            </w:r>
          </w:p>
        </w:tc>
        <w:tc>
          <w:tcPr>
            <w:tcW w:type="dxa" w:w="1872"/>
            <w:shd w:fill="E2E8F0"/>
            <w:tcMar>
              <w:top w:w="80" w:type="dxa"/>
              <w:bottom w:w="80" w:type="dxa"/>
              <w:left w:w="100" w:type="dxa"/>
              <w:right w:w="100" w:type="dxa"/>
            </w:tcMar>
          </w:tcPr>
          <w:p>
            <w:pPr>
              <w:spacing w:after="40" w:before="40"/>
            </w:pPr>
            <w:r>
              <w:rPr>
                <w:rFonts w:ascii="Arial" w:hAnsi="Arial"/>
                <w:b/>
                <w:i w:val="0"/>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i w:val="0"/>
                <w:sz w:val="17"/>
              </w:rPr>
              <w:t>Ti₃C₂Tₓ MXene</w:t>
            </w:r>
          </w:p>
        </w:tc>
        <w:tc>
          <w:tcPr>
            <w:tcW w:type="dxa" w:w="1872"/>
            <w:shd w:fill="E2E8F0"/>
            <w:tcMar>
              <w:top w:w="80" w:type="dxa"/>
              <w:bottom w:w="80" w:type="dxa"/>
              <w:left w:w="100" w:type="dxa"/>
              <w:right w:w="100" w:type="dxa"/>
            </w:tcMar>
          </w:tcPr>
          <w:p>
            <w:pPr>
              <w:spacing w:after="40" w:before="40"/>
            </w:pPr>
            <w:r>
              <w:rPr>
                <w:rFonts w:ascii="Arial" w:hAnsi="Arial"/>
                <w:b/>
                <w:i w:val="0"/>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ΔG</w:t>
            </w:r>
            <w:r>
              <w:rPr>
                <w:rFonts w:ascii="Arial" w:hAnsi="Arial"/>
                <w:b w:val="0"/>
                <w:i w:val="0"/>
                <w:sz w:val="17"/>
                <w:vertAlign w:val="subscript"/>
              </w:rPr>
              <w:t>ads</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-7.8 kcal/mol</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-5.2 kcal/mol</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b w:val="0"/>
                <w:i w:val="0"/>
                <w:sz w:val="17"/>
              </w:rPr>
              <w:t>Saturation Density</w:t>
            </w:r>
          </w:p>
        </w:tc>
        <w:tc>
          <w:tcPr>
            <w:tcW w:type="dxa" w:w="1872"/>
            <w:tcMar>
              <w:top w:w="80" w:type="dxa"/>
              <w:bottom w:w="80" w:type="dxa"/>
              <w:left w:w="100" w:type="dxa"/>
              <w:right w:w="100" w:type="dxa"/>
            </w:tcMar>
          </w:tcPr>
          <w:p>
            <w:pPr>
              <w:spacing w:after="40" w:before="40"/>
            </w:pPr>
            <w:r>
              <w:rPr>
                <w:rFonts w:ascii="Arial" w:hAnsi="Arial"/>
                <w:b w:val="0"/>
                <w:i w:val="0"/>
                <w:sz w:val="17"/>
              </w:rPr>
              <w:t>Γ</w:t>
            </w:r>
            <w:r>
              <w:rPr>
                <w:rFonts w:ascii="Arial" w:hAnsi="Arial"/>
                <w:b w:val="0"/>
                <w:i w:val="0"/>
                <w:sz w:val="17"/>
                <w:vertAlign w:val="subscript"/>
              </w:rPr>
              <w:t>max</w:t>
            </w:r>
          </w:p>
        </w:tc>
        <w:tc>
          <w:tcPr>
            <w:tcW w:type="dxa" w:w="1872"/>
            <w:tcMar>
              <w:top w:w="80" w:type="dxa"/>
              <w:bottom w:w="80" w:type="dxa"/>
              <w:left w:w="100" w:type="dxa"/>
              <w:right w:w="100" w:type="dxa"/>
            </w:tcMar>
          </w:tcPr>
          <w:p>
            <w:pPr>
              <w:spacing w:after="40" w:before="40"/>
            </w:pPr>
            <w:r>
              <w:rPr>
                <w:rFonts w:ascii="Arial" w:hAnsi="Arial"/>
                <w:b w:val="0"/>
                <w:i w:val="0"/>
                <w:sz w:val="17"/>
              </w:rPr>
              <w:t>0.38 nm⁻²</w:t>
            </w:r>
          </w:p>
        </w:tc>
        <w:tc>
          <w:tcPr>
            <w:tcW w:type="dxa" w:w="1872"/>
            <w:tcMar>
              <w:top w:w="80" w:type="dxa"/>
              <w:bottom w:w="80" w:type="dxa"/>
              <w:left w:w="100" w:type="dxa"/>
              <w:right w:w="100" w:type="dxa"/>
            </w:tcMar>
          </w:tcPr>
          <w:p>
            <w:pPr>
              <w:spacing w:after="40" w:before="40"/>
            </w:pPr>
            <w:r>
              <w:rPr>
                <w:rFonts w:ascii="Arial" w:hAnsi="Arial"/>
                <w:b w:val="0"/>
                <w:i w:val="0"/>
                <w:sz w:val="17"/>
              </w:rPr>
              <w:t>0.26 nm⁻²</w:t>
            </w:r>
          </w:p>
        </w:tc>
        <w:tc>
          <w:tcPr>
            <w:tcW w:type="dxa" w:w="1872"/>
            <w:tcMar>
              <w:top w:w="80" w:type="dxa"/>
              <w:bottom w:w="80" w:type="dxa"/>
              <w:left w:w="100" w:type="dxa"/>
              <w:right w:w="100" w:type="dxa"/>
            </w:tcMar>
          </w:tcPr>
          <w:p>
            <w:pPr>
              <w:spacing w:after="40" w:before="40"/>
            </w:pPr>
            <w:r>
              <w:rPr>
                <w:rFonts w:ascii="Arial" w:hAnsi="Arial"/>
                <w:b w:val="0"/>
                <w:i w:val="0"/>
                <w:sz w:val="17"/>
              </w:rPr>
              <w:t>Geometric model estimate (1 / A</w:t>
            </w:r>
            <w:r>
              <w:rPr>
                <w:rFonts w:ascii="Arial" w:hAnsi="Arial"/>
                <w:b w:val="0"/>
                <w:i w:val="0"/>
                <w:sz w:val="17"/>
                <w:vertAlign w:val="subscript"/>
              </w:rPr>
              <w:t>footprint</w:t>
            </w:r>
            <w:r>
              <w:rPr>
                <w:rFonts w:ascii="Arial" w:hAnsi="Arial"/>
                <w:b w:val="0"/>
                <w:i w:val="0"/>
                <w:sz w:val="17"/>
              </w:rPr>
              <w:t>)</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Δγ</w:t>
            </w:r>
            <w:r>
              <w:rPr>
                <w:rFonts w:ascii="Arial" w:hAnsi="Arial"/>
                <w:b w:val="0"/>
                <w:i w:val="0"/>
                <w:sz w:val="17"/>
                <w:vertAlign w:val="subscript"/>
              </w:rPr>
              <w:t>s</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1.023 µN/m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0.296 µN/m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b w:val="0"/>
                <w:i w:val="0"/>
                <w:sz w:val="17"/>
              </w:rPr>
              <w:t>Contact Angle (37°C)</w:t>
            </w:r>
          </w:p>
        </w:tc>
        <w:tc>
          <w:tcPr>
            <w:tcW w:type="dxa" w:w="1872"/>
            <w:tcMar>
              <w:top w:w="80" w:type="dxa"/>
              <w:bottom w:w="80" w:type="dxa"/>
              <w:left w:w="100" w:type="dxa"/>
              <w:right w:w="100" w:type="dxa"/>
            </w:tcMar>
          </w:tcPr>
          <w:p>
            <w:pPr>
              <w:spacing w:after="40" w:before="40"/>
            </w:pPr>
            <w:r>
              <w:rPr>
                <w:rFonts w:ascii="Arial" w:hAnsi="Arial"/>
                <w:b w:val="0"/>
                <w:i w:val="0"/>
                <w:sz w:val="17"/>
              </w:rPr>
              <w:t>θ</w:t>
            </w:r>
            <w:r>
              <w:rPr>
                <w:rFonts w:ascii="Arial" w:hAnsi="Arial"/>
                <w:b w:val="0"/>
                <w:i w:val="0"/>
                <w:sz w:val="17"/>
                <w:vertAlign w:val="subscript"/>
              </w:rPr>
              <w:t>c</w:t>
            </w:r>
          </w:p>
        </w:tc>
        <w:tc>
          <w:tcPr>
            <w:tcW w:type="dxa" w:w="1872"/>
            <w:tcMar>
              <w:top w:w="80" w:type="dxa"/>
              <w:bottom w:w="80" w:type="dxa"/>
              <w:left w:w="100" w:type="dxa"/>
              <w:right w:w="100" w:type="dxa"/>
            </w:tcMar>
          </w:tcPr>
          <w:p>
            <w:pPr>
              <w:spacing w:after="40" w:before="40"/>
            </w:pPr>
            <w:r>
              <w:rPr>
                <w:rFonts w:ascii="Arial" w:hAnsi="Arial"/>
                <w:b w:val="0"/>
                <w:i w:val="0"/>
                <w:sz w:val="17"/>
              </w:rPr>
              <w:t>50.3°</w:t>
            </w:r>
          </w:p>
        </w:tc>
        <w:tc>
          <w:tcPr>
            <w:tcW w:type="dxa" w:w="1872"/>
            <w:tcMar>
              <w:top w:w="80" w:type="dxa"/>
              <w:bottom w:w="80" w:type="dxa"/>
              <w:left w:w="100" w:type="dxa"/>
              <w:right w:w="100" w:type="dxa"/>
            </w:tcMar>
          </w:tcPr>
          <w:p>
            <w:pPr>
              <w:spacing w:after="40" w:before="40"/>
            </w:pPr>
            <w:r>
              <w:rPr>
                <w:rFonts w:ascii="Arial" w:hAnsi="Arial"/>
                <w:b w:val="0"/>
                <w:i w:val="0"/>
                <w:sz w:val="17"/>
              </w:rPr>
              <w:t>79.3°</w:t>
            </w:r>
          </w:p>
        </w:tc>
        <w:tc>
          <w:tcPr>
            <w:tcW w:type="dxa" w:w="1872"/>
            <w:tcMar>
              <w:top w:w="80" w:type="dxa"/>
              <w:bottom w:w="80" w:type="dxa"/>
              <w:left w:w="100" w:type="dxa"/>
              <w:right w:w="100" w:type="dxa"/>
            </w:tcMar>
          </w:tcPr>
          <w:p>
            <w:pPr>
              <w:spacing w:after="40" w:before="40"/>
            </w:pPr>
            <w:r>
              <w:rPr>
                <w:rFonts w:ascii="Arial" w:hAnsi="Arial"/>
                <w:b w:val="0"/>
                <w:i w:val="0"/>
                <w:sz w:val="17"/>
              </w:rPr>
              <w:t>Young's equation closure: cos(θ</w:t>
            </w:r>
            <w:r>
              <w:rPr>
                <w:rFonts w:ascii="Arial" w:hAnsi="Arial"/>
                <w:b w:val="0"/>
                <w:i w:val="0"/>
                <w:sz w:val="17"/>
                <w:vertAlign w:val="subscript"/>
              </w:rPr>
              <w:t>c</w:t>
            </w:r>
            <w:r>
              <w:rPr>
                <w:rFonts w:ascii="Arial" w:hAnsi="Arial"/>
                <w:b w:val="0"/>
                <w:i w:val="0"/>
                <w:sz w:val="17"/>
              </w:rPr>
              <w:t>) = Δγ</w:t>
            </w:r>
            <w:r>
              <w:rPr>
                <w:rFonts w:ascii="Arial" w:hAnsi="Arial"/>
                <w:b w:val="0"/>
                <w:i w:val="0"/>
                <w:sz w:val="17"/>
                <w:vertAlign w:val="subscript"/>
              </w:rPr>
              <w:t>s</w:t>
            </w:r>
            <w:r>
              <w:rPr>
                <w:rFonts w:ascii="Arial" w:hAnsi="Arial"/>
                <w:b w:val="0"/>
                <w:i w:val="0"/>
                <w:sz w:val="17"/>
              </w:rPr>
              <w:t xml:space="preserve"> / γ</w:t>
            </w:r>
            <w:r>
              <w:rPr>
                <w:rFonts w:ascii="Arial" w:hAnsi="Arial"/>
                <w:b w:val="0"/>
                <w:i w:val="0"/>
                <w:sz w:val="17"/>
                <w:vertAlign w:val="subscript"/>
              </w:rPr>
              <w:t>LL</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k</w:t>
            </w:r>
            <w:r>
              <w:rPr>
                <w:rFonts w:ascii="Arial" w:hAnsi="Arial"/>
                <w:b w:val="0"/>
                <w:i w:val="0"/>
                <w:sz w:val="17"/>
                <w:vertAlign w:val="subscript"/>
              </w:rPr>
              <w:t>ext</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1.25 h⁻¹</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0.75 h⁻¹</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b w:val="0"/>
                <w:i w:val="0"/>
                <w:sz w:val="17"/>
              </w:rPr>
              <w:t>Desorption Rate Constant</w:t>
            </w:r>
          </w:p>
        </w:tc>
        <w:tc>
          <w:tcPr>
            <w:tcW w:type="dxa" w:w="1872"/>
            <w:tcMar>
              <w:top w:w="80" w:type="dxa"/>
              <w:bottom w:w="80" w:type="dxa"/>
              <w:left w:w="100" w:type="dxa"/>
              <w:right w:w="100" w:type="dxa"/>
            </w:tcMar>
          </w:tcPr>
          <w:p>
            <w:pPr>
              <w:spacing w:after="40" w:before="40"/>
            </w:pPr>
            <w:r>
              <w:rPr>
                <w:rFonts w:ascii="Arial" w:hAnsi="Arial"/>
                <w:b w:val="0"/>
                <w:i w:val="0"/>
                <w:sz w:val="17"/>
              </w:rPr>
              <w:t>k</w:t>
            </w:r>
            <w:r>
              <w:rPr>
                <w:rFonts w:ascii="Arial" w:hAnsi="Arial"/>
                <w:b w:val="0"/>
                <w:i w:val="0"/>
                <w:sz w:val="17"/>
                <w:vertAlign w:val="subscript"/>
              </w:rPr>
              <w:t>des</w:t>
            </w:r>
          </w:p>
        </w:tc>
        <w:tc>
          <w:tcPr>
            <w:tcW w:type="dxa" w:w="1872"/>
            <w:tcMar>
              <w:top w:w="80" w:type="dxa"/>
              <w:bottom w:w="80" w:type="dxa"/>
              <w:left w:w="100" w:type="dxa"/>
              <w:right w:w="100" w:type="dxa"/>
            </w:tcMar>
          </w:tcPr>
          <w:p>
            <w:pPr>
              <w:spacing w:after="40" w:before="40"/>
            </w:pPr>
            <w:r>
              <w:rPr>
                <w:rFonts w:ascii="Arial" w:hAnsi="Arial"/>
                <w:b w:val="0"/>
                <w:i w:val="0"/>
                <w:sz w:val="17"/>
              </w:rPr>
              <w:t>0.04 h⁻¹</w:t>
            </w:r>
          </w:p>
        </w:tc>
        <w:tc>
          <w:tcPr>
            <w:tcW w:type="dxa" w:w="1872"/>
            <w:tcMar>
              <w:top w:w="80" w:type="dxa"/>
              <w:bottom w:w="80" w:type="dxa"/>
              <w:left w:w="100" w:type="dxa"/>
              <w:right w:w="100" w:type="dxa"/>
            </w:tcMar>
          </w:tcPr>
          <w:p>
            <w:pPr>
              <w:spacing w:after="40" w:before="40"/>
            </w:pPr>
            <w:r>
              <w:rPr>
                <w:rFonts w:ascii="Arial" w:hAnsi="Arial"/>
                <w:b w:val="0"/>
                <w:i w:val="0"/>
                <w:sz w:val="17"/>
              </w:rPr>
              <w:t>0.12 h⁻¹</w:t>
            </w:r>
          </w:p>
        </w:tc>
        <w:tc>
          <w:tcPr>
            <w:tcW w:type="dxa" w:w="1872"/>
            <w:tcMar>
              <w:top w:w="80" w:type="dxa"/>
              <w:bottom w:w="80" w:type="dxa"/>
              <w:left w:w="100" w:type="dxa"/>
              <w:right w:w="100" w:type="dxa"/>
            </w:tcMar>
          </w:tcPr>
          <w:p>
            <w:pPr>
              <w:spacing w:after="40" w:before="40"/>
            </w:pPr>
            <w:r>
              <w:rPr>
                <w:rFonts w:ascii="Arial" w:hAnsi="Arial"/>
                <w:b w:val="0"/>
                <w:i w:val="0"/>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rPr>
          <w:rFonts w:ascii="Arial" w:hAnsi="Arial"/>
          <w:b w:val="0"/>
          <w:i w:val="0"/>
          <w:sz w:val="20"/>
        </w:rPr>
        <w:t>The equilibrium adsorption of monomers onto 2D nanosheets is governed by the Langmuir isotherm with standard thermodynamic activity a = c / c° (where c° = 1.0 M = 10⁶ µM; a = φ̃ / [s</w:t>
      </w:r>
      <w:r>
        <w:rPr>
          <w:rFonts w:ascii="Arial" w:hAnsi="Arial"/>
          <w:b w:val="0"/>
          <w:i w:val="0"/>
          <w:sz w:val="20"/>
          <w:vertAlign w:val="subscript"/>
        </w:rPr>
        <w:t>φ</w:t>
      </w:r>
      <w:r>
        <w:rPr>
          <w:rFonts w:ascii="Arial" w:hAnsi="Arial"/>
          <w:b w:val="0"/>
          <w:i w:val="0"/>
          <w:sz w:val="20"/>
        </w:rPr>
        <w:t xml:space="preserve"> · 10⁶] = φ̃ / 950.0):</w:t>
      </w:r>
    </w:p>
    <w:p>
      <w:pPr>
        <w:spacing w:before="60" w:after="100"/>
        <w:jc w:val="center"/>
      </w:pPr>
      <w:r>
        <w:rPr>
          <w:rFonts w:ascii="Arial" w:hAnsi="Arial"/>
          <w:b w:val="0"/>
          <w:i/>
          <w:sz w:val="20"/>
        </w:rPr>
        <w:t>θ</w:t>
      </w:r>
      <w:r>
        <w:rPr>
          <w:rFonts w:ascii="Arial" w:hAnsi="Arial"/>
          <w:b w:val="0"/>
          <w:i w:val="0"/>
          <w:sz w:val="20"/>
          <w:vertAlign w:val="subscript"/>
        </w:rPr>
        <w:t>ads</w:t>
      </w:r>
      <w:r>
        <w:rPr>
          <w:rFonts w:ascii="Arial" w:hAnsi="Arial"/>
          <w:b w:val="0"/>
          <w:i/>
          <w:sz w:val="20"/>
        </w:rPr>
        <w:t xml:space="preserve"> = (K</w:t>
      </w:r>
      <w:r>
        <w:rPr>
          <w:rFonts w:ascii="Arial" w:hAnsi="Arial"/>
          <w:b w:val="0"/>
          <w:i w:val="0"/>
          <w:sz w:val="20"/>
          <w:vertAlign w:val="subscript"/>
        </w:rPr>
        <w:t>deg</w:t>
      </w:r>
      <w:r>
        <w:rPr>
          <w:rFonts w:ascii="Arial" w:hAnsi="Arial"/>
          <w:b w:val="0"/>
          <w:i/>
          <w:sz w:val="20"/>
        </w:rPr>
        <w:t xml:space="preserve"> a</w:t>
      </w:r>
      <w:r>
        <w:rPr>
          <w:rFonts w:ascii="Arial" w:hAnsi="Arial"/>
          <w:b w:val="0"/>
          <w:i w:val="0"/>
          <w:sz w:val="20"/>
          <w:vertAlign w:val="subscript"/>
        </w:rPr>
        <w:t>free</w:t>
      </w:r>
      <w:r>
        <w:rPr>
          <w:rFonts w:ascii="Arial" w:hAnsi="Arial"/>
          <w:b w:val="0"/>
          <w:i/>
          <w:sz w:val="20"/>
        </w:rPr>
        <w:t>) / (1 + K</w:t>
      </w:r>
      <w:r>
        <w:rPr>
          <w:rFonts w:ascii="Arial" w:hAnsi="Arial"/>
          <w:b w:val="0"/>
          <w:i w:val="0"/>
          <w:sz w:val="20"/>
          <w:vertAlign w:val="subscript"/>
        </w:rPr>
        <w:t>deg</w:t>
      </w:r>
      <w:r>
        <w:rPr>
          <w:rFonts w:ascii="Arial" w:hAnsi="Arial"/>
          <w:b w:val="0"/>
          <w:i/>
          <w:sz w:val="20"/>
        </w:rPr>
        <w:t xml:space="preserve"> a</w:t>
      </w:r>
      <w:r>
        <w:rPr>
          <w:rFonts w:ascii="Arial" w:hAnsi="Arial"/>
          <w:b w:val="0"/>
          <w:i w:val="0"/>
          <w:sz w:val="20"/>
          <w:vertAlign w:val="subscript"/>
        </w:rPr>
        <w:t>free</w:t>
      </w:r>
      <w:r>
        <w:rPr>
          <w:rFonts w:ascii="Arial" w:hAnsi="Arial"/>
          <w:b w:val="0"/>
          <w:i/>
          <w:sz w:val="20"/>
        </w:rPr>
        <w:t>)</w:t>
      </w:r>
    </w:p>
    <w:p>
      <w:pPr>
        <w:spacing w:before="60" w:after="100"/>
        <w:jc w:val="center"/>
      </w:pPr>
      <w:r>
        <w:rPr>
          <w:rFonts w:ascii="Arial" w:hAnsi="Arial"/>
          <w:b w:val="0"/>
          <w:i/>
          <w:sz w:val="20"/>
        </w:rPr>
        <w:t>c</w:t>
      </w:r>
      <w:r>
        <w:rPr>
          <w:rFonts w:ascii="Arial" w:hAnsi="Arial"/>
          <w:b w:val="0"/>
          <w:i w:val="0"/>
          <w:sz w:val="20"/>
          <w:vertAlign w:val="subscript"/>
        </w:rPr>
        <w:t>max,ads</w:t>
      </w:r>
      <w:r>
        <w:rPr>
          <w:rFonts w:ascii="Arial" w:hAnsi="Arial"/>
          <w:b w:val="0"/>
          <w:i/>
          <w:sz w:val="20"/>
        </w:rPr>
        <w:t xml:space="preserve"> = (a</w:t>
      </w:r>
      <w:r>
        <w:rPr>
          <w:rFonts w:ascii="Arial" w:hAnsi="Arial"/>
          <w:b w:val="0"/>
          <w:i w:val="0"/>
          <w:sz w:val="20"/>
          <w:vertAlign w:val="subscript"/>
        </w:rPr>
        <w:t>s</w:t>
      </w:r>
      <w:r>
        <w:rPr>
          <w:rFonts w:ascii="Arial" w:hAnsi="Arial"/>
          <w:b w:val="0"/>
          <w:i/>
          <w:sz w:val="20"/>
        </w:rPr>
        <w:t xml:space="preserve"> Γ</w:t>
      </w:r>
      <w:r>
        <w:rPr>
          <w:rFonts w:ascii="Arial" w:hAnsi="Arial"/>
          <w:b w:val="0"/>
          <w:i w:val="0"/>
          <w:sz w:val="20"/>
          <w:vertAlign w:val="subscript"/>
        </w:rPr>
        <w:t>max</w:t>
      </w:r>
      <w:r>
        <w:rPr>
          <w:rFonts w:ascii="Arial" w:hAnsi="Arial"/>
          <w:b w:val="0"/>
          <w:i/>
          <w:sz w:val="20"/>
        </w:rPr>
        <w:t xml:space="preserve"> 10³⁰ / N</w:t>
      </w:r>
      <w:r>
        <w:rPr>
          <w:rFonts w:ascii="Arial" w:hAnsi="Arial"/>
          <w:b w:val="0"/>
          <w:i w:val="0"/>
          <w:sz w:val="20"/>
          <w:vertAlign w:val="subscript"/>
        </w:rPr>
        <w:t>A</w:t>
      </w:r>
      <w:r>
        <w:rPr>
          <w:rFonts w:ascii="Arial" w:hAnsi="Arial"/>
          <w:b w:val="0"/>
          <w:i/>
          <w:sz w:val="20"/>
        </w:rPr>
        <w:t>)      [µM]</w:t>
      </w:r>
    </w:p>
    <w:p>
      <w:pPr>
        <w:spacing w:before="60" w:after="100"/>
        <w:jc w:val="center"/>
      </w:pPr>
      <w:r>
        <w:rPr>
          <w:rFonts w:ascii="Arial" w:hAnsi="Arial"/>
          <w:b w:val="0"/>
          <w:i/>
          <w:sz w:val="20"/>
        </w:rPr>
        <w:t>m̃</w:t>
      </w:r>
      <w:r>
        <w:rPr>
          <w:rFonts w:ascii="Arial" w:hAnsi="Arial"/>
          <w:b w:val="0"/>
          <w:i w:val="0"/>
          <w:sz w:val="20"/>
          <w:vertAlign w:val="subscript"/>
        </w:rPr>
        <w:t>max</w:t>
      </w:r>
      <w:r>
        <w:rPr>
          <w:rFonts w:ascii="Arial" w:hAnsi="Arial"/>
          <w:b w:val="0"/>
          <w:i/>
          <w:sz w:val="20"/>
        </w:rPr>
        <w:t xml:space="preserve"> = s</w:t>
      </w:r>
      <w:r>
        <w:rPr>
          <w:rFonts w:ascii="Arial" w:hAnsi="Arial"/>
          <w:b w:val="0"/>
          <w:i w:val="0"/>
          <w:sz w:val="20"/>
          <w:vertAlign w:val="subscript"/>
        </w:rPr>
        <w:t>φ</w:t>
      </w:r>
      <w:r>
        <w:rPr>
          <w:rFonts w:ascii="Arial" w:hAnsi="Arial"/>
          <w:b w:val="0"/>
          <w:i/>
          <w:sz w:val="20"/>
        </w:rPr>
        <w:t xml:space="preserve"> c</w:t>
      </w:r>
      <w:r>
        <w:rPr>
          <w:rFonts w:ascii="Arial" w:hAnsi="Arial"/>
          <w:b w:val="0"/>
          <w:i w:val="0"/>
          <w:sz w:val="20"/>
          <w:vertAlign w:val="subscript"/>
        </w:rPr>
        <w:t>max,ads</w:t>
      </w:r>
      <w:r>
        <w:rPr>
          <w:rFonts w:ascii="Arial" w:hAnsi="Arial"/>
          <w:b w:val="0"/>
          <w:i/>
          <w:sz w:val="20"/>
        </w:rPr>
        <w:t xml:space="preserve">      (Dimensionless capacity on order-parameter scale)</w:t>
      </w:r>
    </w:p>
    <w:p>
      <w:pPr>
        <w:spacing w:before="60" w:after="100"/>
        <w:jc w:val="center"/>
      </w:pPr>
      <w:r>
        <w:rPr>
          <w:rFonts w:ascii="Arial" w:hAnsi="Arial"/>
          <w:b w:val="0"/>
          <w:i/>
          <w:sz w:val="20"/>
        </w:rPr>
        <w:t>φ̃</w:t>
      </w:r>
      <w:r>
        <w:rPr>
          <w:rFonts w:ascii="Arial" w:hAnsi="Arial"/>
          <w:b w:val="0"/>
          <w:i w:val="0"/>
          <w:sz w:val="20"/>
          <w:vertAlign w:val="subscript"/>
        </w:rPr>
        <w:t>total</w:t>
      </w:r>
      <w:r>
        <w:rPr>
          <w:rFonts w:ascii="Arial" w:hAnsi="Arial"/>
          <w:b w:val="0"/>
          <w:i/>
          <w:sz w:val="20"/>
        </w:rPr>
        <w:t xml:space="preserve"> = φ̃</w:t>
      </w:r>
      <w:r>
        <w:rPr>
          <w:rFonts w:ascii="Arial" w:hAnsi="Arial"/>
          <w:b w:val="0"/>
          <w:i w:val="0"/>
          <w:sz w:val="20"/>
          <w:vertAlign w:val="subscript"/>
        </w:rPr>
        <w:t>free</w:t>
      </w:r>
      <w:r>
        <w:rPr>
          <w:rFonts w:ascii="Arial" w:hAnsi="Arial"/>
          <w:b w:val="0"/>
          <w:i/>
          <w:sz w:val="20"/>
        </w:rPr>
        <w:t xml:space="preserve"> + m̃</w:t>
      </w:r>
      <w:r>
        <w:rPr>
          <w:rFonts w:ascii="Arial" w:hAnsi="Arial"/>
          <w:b w:val="0"/>
          <w:i w:val="0"/>
          <w:sz w:val="20"/>
          <w:vertAlign w:val="subscript"/>
        </w:rPr>
        <w:t>max</w:t>
      </w:r>
      <w:r>
        <w:rPr>
          <w:rFonts w:ascii="Arial" w:hAnsi="Arial"/>
          <w:b w:val="0"/>
          <w:i/>
          <w:sz w:val="20"/>
        </w:rPr>
        <w:t xml:space="preserve"> θ</w:t>
      </w:r>
      <w:r>
        <w:rPr>
          <w:rFonts w:ascii="Arial" w:hAnsi="Arial"/>
          <w:b w:val="0"/>
          <w:i w:val="0"/>
          <w:sz w:val="20"/>
          <w:vertAlign w:val="subscript"/>
        </w:rPr>
        <w:t>ads</w:t>
      </w:r>
    </w:p>
    <w:p>
      <w:pPr>
        <w:spacing w:after="100"/>
      </w:pPr>
      <w:r>
        <w:rPr>
          <w:rFonts w:ascii="Arial" w:hAnsi="Arial"/>
          <w:b w:val="0"/>
          <w:i w:val="0"/>
          <w:sz w:val="20"/>
        </w:rPr>
        <w:t>where K</w:t>
      </w:r>
      <w:r>
        <w:rPr>
          <w:rFonts w:ascii="Arial" w:hAnsi="Arial"/>
          <w:b w:val="0"/>
          <w:i w:val="0"/>
          <w:sz w:val="20"/>
          <w:vertAlign w:val="subscript"/>
        </w:rPr>
        <w:t>deg</w:t>
      </w:r>
      <w:r>
        <w:rPr>
          <w:rFonts w:ascii="Arial" w:hAnsi="Arial"/>
          <w:b w:val="0"/>
          <w:i w:val="0"/>
          <w:sz w:val="20"/>
        </w:rPr>
        <w:t xml:space="preserve"> = exp(-ΔG</w:t>
      </w:r>
      <w:r>
        <w:rPr>
          <w:rFonts w:ascii="Arial" w:hAnsi="Arial"/>
          <w:b w:val="0"/>
          <w:i w:val="0"/>
          <w:sz w:val="20"/>
          <w:vertAlign w:val="subscript"/>
        </w:rPr>
        <w:t>ads</w:t>
      </w:r>
      <w:r>
        <w:rPr>
          <w:rFonts w:ascii="Arial" w:hAnsi="Arial"/>
          <w:b w:val="0"/>
          <w:i w:val="0"/>
          <w:sz w:val="20"/>
        </w:rPr>
        <w:t xml:space="preserve"> / RT). The single unknown φ̃</w:t>
      </w:r>
      <w:r>
        <w:rPr>
          <w:rFonts w:ascii="Arial" w:hAnsi="Arial"/>
          <w:b w:val="0"/>
          <w:i w:val="0"/>
          <w:sz w:val="20"/>
          <w:vertAlign w:val="subscript"/>
        </w:rPr>
        <w:t>free</w:t>
      </w:r>
      <w:r>
        <w:rPr>
          <w:rFonts w:ascii="Arial" w:hAnsi="Arial"/>
          <w:b w:val="0"/>
          <w:i w:val="0"/>
          <w:sz w:val="20"/>
        </w:rPr>
        <w:t xml:space="preserve"> is obtained by fixed-point (Picard) iteration of this mass balance to a convergence tolerance of 10⁻¹². (Brent's method is used separately, in Section 3.6, to locate the apparent cloud-point temperature.)</w:t>
      </w:r>
    </w:p>
    <w:p>
      <w:pPr>
        <w:spacing w:before="200" w:after="60"/>
      </w:pPr>
      <w:r>
        <w:rPr>
          <w:rFonts w:ascii="Arial" w:hAnsi="Arial"/>
          <w:b/>
          <w:sz w:val="21"/>
        </w:rPr>
        <w:t>3.4 Cahn-Hilliard Gradient Theory and Thermodynamic Wetting Derivation</w:t>
      </w:r>
    </w:p>
    <w:p>
      <w:pPr>
        <w:spacing w:after="100"/>
      </w:pPr>
      <w:r>
        <w:rPr>
          <w:rFonts w:ascii="Arial" w:hAnsi="Arial"/>
          <w:b w:val="0"/>
          <w:i w:val="0"/>
          <w:sz w:val="20"/>
        </w:rPr>
        <w:t>The liquid-liquid interfacial tension evaluates from Cahn-Hilliard gradient theory under the unified energy-density scale f</w:t>
      </w:r>
      <w:r>
        <w:rPr>
          <w:rFonts w:ascii="Arial" w:hAnsi="Arial"/>
          <w:b w:val="0"/>
          <w:i w:val="0"/>
          <w:sz w:val="20"/>
          <w:vertAlign w:val="subscript"/>
        </w:rPr>
        <w:t>0</w:t>
      </w:r>
      <w:r>
        <w:rPr>
          <w:rFonts w:ascii="Arial" w:hAnsi="Arial"/>
          <w:b w:val="0"/>
          <w:i w:val="0"/>
          <w:sz w:val="20"/>
        </w:rPr>
        <w:t xml:space="preserve"> = k</w:t>
      </w:r>
      <w:r>
        <w:rPr>
          <w:rFonts w:ascii="Arial" w:hAnsi="Arial"/>
          <w:b w:val="0"/>
          <w:i w:val="0"/>
          <w:sz w:val="20"/>
          <w:vertAlign w:val="subscript"/>
        </w:rPr>
        <w:t>B</w:t>
      </w:r>
      <w:r>
        <w:rPr>
          <w:rFonts w:ascii="Arial" w:hAnsi="Arial"/>
          <w:b w:val="0"/>
          <w:i w:val="0"/>
          <w:sz w:val="20"/>
        </w:rPr>
        <w:t xml:space="preserve"> T / v</w:t>
      </w:r>
      <w:r>
        <w:rPr>
          <w:rFonts w:ascii="Arial" w:hAnsi="Arial"/>
          <w:b w:val="0"/>
          <w:i w:val="0"/>
          <w:sz w:val="20"/>
          <w:vertAlign w:val="subscript"/>
        </w:rPr>
        <w:t>ref</w:t>
      </w:r>
      <w:r>
        <w:rPr>
          <w:rFonts w:ascii="Arial" w:hAnsi="Arial"/>
          <w:b w:val="0"/>
          <w:i w:val="0"/>
          <w:sz w:val="20"/>
        </w:rPr>
        <w:t xml:space="preserve"> = 1.50×10⁴ J/m³ (v</w:t>
      </w:r>
      <w:r>
        <w:rPr>
          <w:rFonts w:ascii="Arial" w:hAnsi="Arial"/>
          <w:b w:val="0"/>
          <w:i w:val="0"/>
          <w:sz w:val="20"/>
          <w:vertAlign w:val="subscript"/>
        </w:rPr>
        <w:t>ref</w:t>
      </w:r>
      <w:r>
        <w:rPr>
          <w:rFonts w:ascii="Arial" w:hAnsi="Arial"/>
          <w:b w:val="0"/>
          <w:i w:val="0"/>
          <w:sz w:val="20"/>
        </w:rPr>
        <w:t xml:space="preserve"> = 2.85×10⁻²⁵ m³):</w:t>
      </w:r>
    </w:p>
    <w:p>
      <w:pPr>
        <w:spacing w:before="60" w:after="100"/>
        <w:jc w:val="center"/>
      </w:pPr>
      <w:r>
        <w:rPr>
          <w:rFonts w:ascii="Arial" w:hAnsi="Arial"/>
          <w:b w:val="0"/>
          <w:i/>
          <w:sz w:val="20"/>
        </w:rPr>
        <w:t>γ</w:t>
      </w:r>
      <w:r>
        <w:rPr>
          <w:rFonts w:ascii="Arial" w:hAnsi="Arial"/>
          <w:b w:val="0"/>
          <w:i w:val="0"/>
          <w:sz w:val="20"/>
          <w:vertAlign w:val="subscript"/>
        </w:rPr>
        <w:t>LL</w:t>
      </w:r>
      <w:r>
        <w:rPr>
          <w:rFonts w:ascii="Arial" w:hAnsi="Arial"/>
          <w:b w:val="0"/>
          <w:i/>
          <w:sz w:val="20"/>
        </w:rPr>
        <w:t xml:space="preserve"> = ∫ √(2 κ</w:t>
      </w:r>
      <w:r>
        <w:rPr>
          <w:rFonts w:ascii="Arial" w:hAnsi="Arial"/>
          <w:b w:val="0"/>
          <w:i w:val="0"/>
          <w:sz w:val="20"/>
          <w:vertAlign w:val="subscript"/>
        </w:rPr>
        <w:t>grad</w:t>
      </w:r>
      <w:r>
        <w:rPr>
          <w:rFonts w:ascii="Arial" w:hAnsi="Arial"/>
          <w:b w:val="0"/>
          <w:i/>
          <w:sz w:val="20"/>
        </w:rPr>
        <w:t xml:space="preserve"> f</w:t>
      </w:r>
      <w:r>
        <w:rPr>
          <w:rFonts w:ascii="Arial" w:hAnsi="Arial"/>
          <w:b w:val="0"/>
          <w:i w:val="0"/>
          <w:sz w:val="20"/>
          <w:vertAlign w:val="subscript"/>
        </w:rPr>
        <w:t>0</w:t>
      </w:r>
      <w:r>
        <w:rPr>
          <w:rFonts w:ascii="Arial" w:hAnsi="Arial"/>
          <w:b w:val="0"/>
          <w:i/>
          <w:sz w:val="20"/>
        </w:rPr>
        <w:t xml:space="preserve"> Ω</w:t>
      </w:r>
      <w:r>
        <w:rPr>
          <w:rFonts w:ascii="Arial" w:hAnsi="Arial"/>
          <w:b w:val="0"/>
          <w:i w:val="0"/>
          <w:sz w:val="20"/>
          <w:vertAlign w:val="subscript"/>
        </w:rPr>
        <w:t>excess</w:t>
      </w:r>
      <w:r>
        <w:rPr>
          <w:rFonts w:ascii="Arial" w:hAnsi="Arial"/>
          <w:b w:val="0"/>
          <w:i/>
          <w:sz w:val="20"/>
        </w:rPr>
        <w:t>(φ̃)) dφ̃      [J/m² = N/m]</w:t>
      </w:r>
    </w:p>
    <w:p>
      <w:pPr>
        <w:spacing w:after="100"/>
      </w:pPr>
      <w:r>
        <w:rPr>
          <w:rFonts w:ascii="Arial" w:hAnsi="Arial"/>
          <w:b w:val="0"/>
          <w:i w:val="0"/>
          <w:sz w:val="20"/>
        </w:rPr>
        <w:t>where κ</w:t>
      </w:r>
      <w:r>
        <w:rPr>
          <w:rFonts w:ascii="Arial" w:hAnsi="Arial"/>
          <w:b w:val="0"/>
          <w:i w:val="0"/>
          <w:sz w:val="20"/>
          <w:vertAlign w:val="subscript"/>
        </w:rPr>
        <w:t>grad</w:t>
      </w:r>
      <w:r>
        <w:rPr>
          <w:rFonts w:ascii="Arial" w:hAnsi="Arial"/>
          <w:b w:val="0"/>
          <w:i w:val="0"/>
          <w:sz w:val="20"/>
        </w:rPr>
        <w:t xml:space="preserve"> = (1/6) f</w:t>
      </w:r>
      <w:r>
        <w:rPr>
          <w:rFonts w:ascii="Arial" w:hAnsi="Arial"/>
          <w:b w:val="0"/>
          <w:i w:val="0"/>
          <w:sz w:val="20"/>
          <w:vertAlign w:val="subscript"/>
        </w:rPr>
        <w:t>0</w:t>
      </w:r>
      <w:r>
        <w:rPr>
          <w:rFonts w:ascii="Arial" w:hAnsi="Arial"/>
          <w:b w:val="0"/>
          <w:i w:val="0"/>
          <w:sz w:val="20"/>
        </w:rPr>
        <w:t xml:space="preserve"> b² is the gradient energy coefficient with effective correlation length b = 3.4 nm. The solid-liquid surface excess free energy difference is derived directly from the Langmuir surface grand potential with thermodynamic activities a</w:t>
      </w:r>
      <w:r>
        <w:rPr>
          <w:rFonts w:ascii="Arial" w:hAnsi="Arial"/>
          <w:b w:val="0"/>
          <w:i w:val="0"/>
          <w:sz w:val="20"/>
          <w:vertAlign w:val="subscript"/>
        </w:rPr>
        <w:t>dense</w:t>
      </w:r>
      <w:r>
        <w:rPr>
          <w:rFonts w:ascii="Arial" w:hAnsi="Arial"/>
          <w:b w:val="0"/>
          <w:i w:val="0"/>
          <w:sz w:val="20"/>
        </w:rPr>
        <w:t xml:space="preserve"> and a</w:t>
      </w:r>
      <w:r>
        <w:rPr>
          <w:rFonts w:ascii="Arial" w:hAnsi="Arial"/>
          <w:b w:val="0"/>
          <w:i w:val="0"/>
          <w:sz w:val="20"/>
          <w:vertAlign w:val="subscript"/>
        </w:rPr>
        <w:t>dilute</w:t>
      </w:r>
      <w:r>
        <w:rPr>
          <w:rFonts w:ascii="Arial" w:hAnsi="Arial"/>
          <w:b w:val="0"/>
          <w:i w:val="0"/>
          <w:sz w:val="20"/>
        </w:rPr>
        <w:t>:</w:t>
      </w:r>
    </w:p>
    <w:p>
      <w:pPr>
        <w:spacing w:before="60" w:after="100"/>
        <w:jc w:val="center"/>
      </w:pPr>
      <w:r>
        <w:rPr>
          <w:rFonts w:ascii="Arial" w:hAnsi="Arial"/>
          <w:b w:val="0"/>
          <w:i/>
          <w:sz w:val="20"/>
        </w:rPr>
        <w:t>Δγ</w:t>
      </w:r>
      <w:r>
        <w:rPr>
          <w:rFonts w:ascii="Arial" w:hAnsi="Arial"/>
          <w:b w:val="0"/>
          <w:i w:val="0"/>
          <w:sz w:val="20"/>
          <w:vertAlign w:val="subscript"/>
        </w:rPr>
        <w:t>s</w:t>
      </w:r>
      <w:r>
        <w:rPr>
          <w:rFonts w:ascii="Arial" w:hAnsi="Arial"/>
          <w:b w:val="0"/>
          <w:i/>
          <w:sz w:val="20"/>
        </w:rPr>
        <w:t xml:space="preserve"> = γ</w:t>
      </w:r>
      <w:r>
        <w:rPr>
          <w:rFonts w:ascii="Arial" w:hAnsi="Arial"/>
          <w:b w:val="0"/>
          <w:i w:val="0"/>
          <w:sz w:val="20"/>
          <w:vertAlign w:val="subscript"/>
        </w:rPr>
        <w:t>S,dilute</w:t>
      </w:r>
      <w:r>
        <w:rPr>
          <w:rFonts w:ascii="Arial" w:hAnsi="Arial"/>
          <w:b w:val="0"/>
          <w:i/>
          <w:sz w:val="20"/>
        </w:rPr>
        <w:t xml:space="preserve"> - γ</w:t>
      </w:r>
      <w:r>
        <w:rPr>
          <w:rFonts w:ascii="Arial" w:hAnsi="Arial"/>
          <w:b w:val="0"/>
          <w:i w:val="0"/>
          <w:sz w:val="20"/>
          <w:vertAlign w:val="subscript"/>
        </w:rPr>
        <w:t>S,dense</w:t>
      </w:r>
      <w:r>
        <w:rPr>
          <w:rFonts w:ascii="Arial" w:hAnsi="Arial"/>
          <w:b w:val="0"/>
          <w:i/>
          <w:sz w:val="20"/>
        </w:rPr>
        <w:t xml:space="preserve"> = η</w:t>
      </w:r>
      <w:r>
        <w:rPr>
          <w:rFonts w:ascii="Arial" w:hAnsi="Arial"/>
          <w:b w:val="0"/>
          <w:i w:val="0"/>
          <w:sz w:val="20"/>
          <w:vertAlign w:val="subscript"/>
        </w:rPr>
        <w:t>eff</w:t>
      </w:r>
      <w:r>
        <w:rPr>
          <w:rFonts w:ascii="Arial" w:hAnsi="Arial"/>
          <w:b w:val="0"/>
          <w:i/>
          <w:sz w:val="20"/>
        </w:rPr>
        <w:t xml:space="preserve"> k</w:t>
      </w:r>
      <w:r>
        <w:rPr>
          <w:rFonts w:ascii="Arial" w:hAnsi="Arial"/>
          <w:b w:val="0"/>
          <w:i w:val="0"/>
          <w:sz w:val="20"/>
          <w:vertAlign w:val="subscript"/>
        </w:rPr>
        <w:t>B</w:t>
      </w:r>
      <w:r>
        <w:rPr>
          <w:rFonts w:ascii="Arial" w:hAnsi="Arial"/>
          <w:b w:val="0"/>
          <w:i/>
          <w:sz w:val="20"/>
        </w:rPr>
        <w:t xml:space="preserve"> T Γ</w:t>
      </w:r>
      <w:r>
        <w:rPr>
          <w:rFonts w:ascii="Arial" w:hAnsi="Arial"/>
          <w:b w:val="0"/>
          <w:i w:val="0"/>
          <w:sz w:val="20"/>
          <w:vertAlign w:val="subscript"/>
        </w:rPr>
        <w:t>max</w:t>
      </w:r>
      <w:r>
        <w:rPr>
          <w:rFonts w:ascii="Arial" w:hAnsi="Arial"/>
          <w:b w:val="0"/>
          <w:i/>
          <w:sz w:val="20"/>
        </w:rPr>
        <w:t xml:space="preserve"> ln [ (1 + K</w:t>
      </w:r>
      <w:r>
        <w:rPr>
          <w:rFonts w:ascii="Arial" w:hAnsi="Arial"/>
          <w:b w:val="0"/>
          <w:i w:val="0"/>
          <w:sz w:val="20"/>
          <w:vertAlign w:val="subscript"/>
        </w:rPr>
        <w:t>deg</w:t>
      </w:r>
      <w:r>
        <w:rPr>
          <w:rFonts w:ascii="Arial" w:hAnsi="Arial"/>
          <w:b w:val="0"/>
          <w:i/>
          <w:sz w:val="20"/>
        </w:rPr>
        <w:t xml:space="preserve"> a</w:t>
      </w:r>
      <w:r>
        <w:rPr>
          <w:rFonts w:ascii="Arial" w:hAnsi="Arial"/>
          <w:b w:val="0"/>
          <w:i w:val="0"/>
          <w:sz w:val="20"/>
          <w:vertAlign w:val="subscript"/>
        </w:rPr>
        <w:t>dense</w:t>
      </w:r>
      <w:r>
        <w:rPr>
          <w:rFonts w:ascii="Arial" w:hAnsi="Arial"/>
          <w:b w:val="0"/>
          <w:i/>
          <w:sz w:val="20"/>
        </w:rPr>
        <w:t>) / (1 + K</w:t>
      </w:r>
      <w:r>
        <w:rPr>
          <w:rFonts w:ascii="Arial" w:hAnsi="Arial"/>
          <w:b w:val="0"/>
          <w:i w:val="0"/>
          <w:sz w:val="20"/>
          <w:vertAlign w:val="subscript"/>
        </w:rPr>
        <w:t>deg</w:t>
      </w:r>
      <w:r>
        <w:rPr>
          <w:rFonts w:ascii="Arial" w:hAnsi="Arial"/>
          <w:b w:val="0"/>
          <w:i/>
          <w:sz w:val="20"/>
        </w:rPr>
        <w:t xml:space="preserve"> a</w:t>
      </w:r>
      <w:r>
        <w:rPr>
          <w:rFonts w:ascii="Arial" w:hAnsi="Arial"/>
          <w:b w:val="0"/>
          <w:i w:val="0"/>
          <w:sz w:val="20"/>
          <w:vertAlign w:val="subscript"/>
        </w:rPr>
        <w:t>dilute</w:t>
      </w:r>
      <w:r>
        <w:rPr>
          <w:rFonts w:ascii="Arial" w:hAnsi="Arial"/>
          <w:b w:val="0"/>
          <w:i/>
          <w:sz w:val="20"/>
        </w:rPr>
        <w:t>) ]</w:t>
      </w:r>
    </w:p>
    <w:p>
      <w:pPr>
        <w:spacing w:after="100"/>
      </w:pPr>
      <w:r>
        <w:rPr>
          <w:rFonts w:ascii="Arial" w:hAnsi="Arial"/>
          <w:b w:val="0"/>
          <w:i w:val="0"/>
          <w:sz w:val="20"/>
        </w:rPr>
        <w:t>where η</w:t>
      </w:r>
      <w:r>
        <w:rPr>
          <w:rFonts w:ascii="Arial" w:hAnsi="Arial"/>
          <w:b w:val="0"/>
          <w:i w:val="0"/>
          <w:sz w:val="20"/>
          <w:vertAlign w:val="subscript"/>
        </w:rPr>
        <w:t>eff</w:t>
      </w:r>
      <w:r>
        <w:rPr>
          <w:rFonts w:ascii="Arial" w:hAnsi="Arial"/>
          <w:b w:val="0"/>
          <w:i w:val="0"/>
          <w:sz w:val="20"/>
        </w:rPr>
        <w:t xml:space="preserve"> = 0.20×10⁻³ represents the phenomenological coarse-grained interfacial coupling factor (scaling with the ratio of interfacial capillary width to droplet radius, ξ / R ~ 10⁻³). The resulting contact angles are therefore conditional on η</w:t>
      </w:r>
      <w:r>
        <w:rPr>
          <w:rFonts w:ascii="Arial" w:hAnsi="Arial"/>
          <w:b w:val="0"/>
          <w:i w:val="0"/>
          <w:sz w:val="20"/>
          <w:vertAlign w:val="subscript"/>
        </w:rPr>
        <w:t>eff</w:t>
      </w:r>
      <w:r>
        <w:rPr>
          <w:rFonts w:ascii="Arial" w:hAnsi="Arial"/>
          <w:b w:val="0"/>
          <w:i w:val="0"/>
          <w:sz w:val="20"/>
        </w:rPr>
        <w:t>. Young's equation then gives:</w:t>
      </w:r>
    </w:p>
    <w:p>
      <w:pPr>
        <w:spacing w:before="60" w:after="100"/>
        <w:jc w:val="center"/>
      </w:pPr>
      <w:r>
        <w:rPr>
          <w:rFonts w:ascii="Arial" w:hAnsi="Arial"/>
          <w:b w:val="0"/>
          <w:i/>
          <w:sz w:val="20"/>
        </w:rPr>
        <w:t>cos(θ</w:t>
      </w:r>
      <w:r>
        <w:rPr>
          <w:rFonts w:ascii="Arial" w:hAnsi="Arial"/>
          <w:b w:val="0"/>
          <w:i w:val="0"/>
          <w:sz w:val="20"/>
          <w:vertAlign w:val="subscript"/>
        </w:rPr>
        <w:t>c</w:t>
      </w:r>
      <w:r>
        <w:rPr>
          <w:rFonts w:ascii="Arial" w:hAnsi="Arial"/>
          <w:b w:val="0"/>
          <w:i/>
          <w:sz w:val="20"/>
        </w:rPr>
        <w:t>) = Δγ</w:t>
      </w:r>
      <w:r>
        <w:rPr>
          <w:rFonts w:ascii="Arial" w:hAnsi="Arial"/>
          <w:b w:val="0"/>
          <w:i w:val="0"/>
          <w:sz w:val="20"/>
          <w:vertAlign w:val="subscript"/>
        </w:rPr>
        <w:t>s</w:t>
      </w:r>
      <w:r>
        <w:rPr>
          <w:rFonts w:ascii="Arial" w:hAnsi="Arial"/>
          <w:b w:val="0"/>
          <w:i/>
          <w:sz w:val="20"/>
        </w:rPr>
        <w:t xml:space="preserve"> / γ</w:t>
      </w:r>
      <w:r>
        <w:rPr>
          <w:rFonts w:ascii="Arial" w:hAnsi="Arial"/>
          <w:b w:val="0"/>
          <w:i w:val="0"/>
          <w:sz w:val="20"/>
          <w:vertAlign w:val="subscript"/>
        </w:rPr>
        <w:t>LL</w:t>
      </w:r>
    </w:p>
    <w:p>
      <w:pPr>
        <w:spacing w:after="100"/>
      </w:pPr>
      <w:r>
        <w:rPr>
          <w:rFonts w:ascii="Arial" w:hAnsi="Arial"/>
          <w:b w:val="0"/>
          <w:i w:val="0"/>
          <w:sz w:val="20"/>
        </w:rPr>
        <w:t>The 95% confidence intervals in Figure 3b were evaluated via Monte Carlo error propagation (N</w:t>
      </w:r>
      <w:r>
        <w:rPr>
          <w:rFonts w:ascii="Arial" w:hAnsi="Arial"/>
          <w:b w:val="0"/>
          <w:i w:val="0"/>
          <w:sz w:val="20"/>
          <w:vertAlign w:val="subscript"/>
        </w:rPr>
        <w:t>MC</w:t>
      </w:r>
      <w:r>
        <w:rPr>
          <w:rFonts w:ascii="Arial" w:hAnsi="Arial"/>
          <w:b w:val="0"/>
          <w:i w:val="0"/>
          <w:sz w:val="20"/>
        </w:rPr>
        <w:t xml:space="preserve"> = 500 draws, seed = 42) sampling Gaussian distributions for ΔG</w:t>
      </w:r>
      <w:r>
        <w:rPr>
          <w:rFonts w:ascii="Arial" w:hAnsi="Arial"/>
          <w:b w:val="0"/>
          <w:i w:val="0"/>
          <w:sz w:val="20"/>
          <w:vertAlign w:val="subscript"/>
        </w:rPr>
        <w:t>ads</w:t>
      </w:r>
      <w:r>
        <w:rPr>
          <w:rFonts w:ascii="Arial" w:hAnsi="Arial"/>
          <w:b w:val="0"/>
          <w:i w:val="0"/>
          <w:sz w:val="20"/>
        </w:rPr>
        <w:t xml:space="preserve"> (standard deviation 0.25 kcal/mol) and η</w:t>
      </w:r>
      <w:r>
        <w:rPr>
          <w:rFonts w:ascii="Arial" w:hAnsi="Arial"/>
          <w:b w:val="0"/>
          <w:i w:val="0"/>
          <w:sz w:val="20"/>
          <w:vertAlign w:val="subscript"/>
        </w:rPr>
        <w:t>eff</w:t>
      </w:r>
      <w:r>
        <w:rPr>
          <w:rFonts w:ascii="Arial" w:hAnsi="Arial"/>
          <w:b w:val="0"/>
          <w:i w:val="0"/>
          <w:sz w:val="20"/>
        </w:rPr>
        <w:t xml:space="preserve"> (standard deviation 0.02×10⁻³).</w:t>
      </w:r>
    </w:p>
    <w:p>
      <w:pPr>
        <w:spacing w:before="200" w:after="60"/>
      </w:pPr>
      <w:r>
        <w:rPr>
          <w:rFonts w:ascii="Arial" w:hAnsi="Arial"/>
          <w:b/>
          <w:sz w:val="21"/>
        </w:rPr>
        <w:t>3.5 Strictly Dimensional Master Equations for Condensate Hardening</w:t>
      </w:r>
    </w:p>
    <w:p>
      <w:pPr>
        <w:spacing w:after="100"/>
      </w:pPr>
      <w:r>
        <w:rPr>
          <w:rFonts w:ascii="Arial" w:hAnsi="Arial"/>
          <w:b w:val="0"/>
          <w:i w:val="0"/>
          <w:sz w:val="20"/>
        </w:rPr>
        <w:t>The coupled master equations governing liquid-to-solid transition in condensates are:</w:t>
      </w:r>
    </w:p>
    <w:p>
      <w:pPr>
        <w:spacing w:before="60" w:after="100"/>
        <w:jc w:val="center"/>
      </w:pPr>
      <w:r>
        <w:rPr>
          <w:rFonts w:ascii="Arial" w:hAnsi="Arial"/>
          <w:b w:val="0"/>
          <w:i/>
          <w:sz w:val="20"/>
        </w:rPr>
        <w:t>dφ</w:t>
      </w:r>
      <w:r>
        <w:rPr>
          <w:rFonts w:ascii="Arial" w:hAnsi="Arial"/>
          <w:b w:val="0"/>
          <w:i w:val="0"/>
          <w:sz w:val="20"/>
          <w:vertAlign w:val="subscript"/>
        </w:rPr>
        <w:t>dense</w:t>
      </w:r>
      <w:r>
        <w:rPr>
          <w:rFonts w:ascii="Arial" w:hAnsi="Arial"/>
          <w:b w:val="0"/>
          <w:i/>
          <w:sz w:val="20"/>
        </w:rPr>
        <w:t>/dt = - n</w:t>
      </w:r>
      <w:r>
        <w:rPr>
          <w:rFonts w:ascii="Arial" w:hAnsi="Arial"/>
          <w:b w:val="0"/>
          <w:i w:val="0"/>
          <w:sz w:val="20"/>
          <w:vertAlign w:val="subscript"/>
        </w:rPr>
        <w:t>c</w:t>
      </w:r>
      <w:r>
        <w:rPr>
          <w:rFonts w:ascii="Arial" w:hAnsi="Arial"/>
          <w:b w:val="0"/>
          <w:i/>
          <w:sz w:val="20"/>
        </w:rPr>
        <w:t xml:space="preserve"> J</w:t>
      </w:r>
      <w:r>
        <w:rPr>
          <w:rFonts w:ascii="Arial" w:hAnsi="Arial"/>
          <w:b w:val="0"/>
          <w:i w:val="0"/>
          <w:sz w:val="20"/>
          <w:vertAlign w:val="subscript"/>
        </w:rPr>
        <w:t>prim</w:t>
      </w:r>
      <w:r>
        <w:rPr>
          <w:rFonts w:ascii="Arial" w:hAnsi="Arial"/>
          <w:b w:val="0"/>
          <w:i/>
          <w:sz w:val="20"/>
        </w:rPr>
        <w:t xml:space="preserve"> - n</w:t>
      </w:r>
      <w:r>
        <w:rPr>
          <w:rFonts w:ascii="Arial" w:hAnsi="Arial"/>
          <w:b w:val="0"/>
          <w:i w:val="0"/>
          <w:sz w:val="20"/>
          <w:vertAlign w:val="subscript"/>
        </w:rPr>
        <w:t>2</w:t>
      </w:r>
      <w:r>
        <w:rPr>
          <w:rFonts w:ascii="Arial" w:hAnsi="Arial"/>
          <w:b w:val="0"/>
          <w:i/>
          <w:sz w:val="20"/>
        </w:rPr>
        <w:t xml:space="preserve"> J</w:t>
      </w:r>
      <w:r>
        <w:rPr>
          <w:rFonts w:ascii="Arial" w:hAnsi="Arial"/>
          <w:b w:val="0"/>
          <w:i w:val="0"/>
          <w:sz w:val="20"/>
          <w:vertAlign w:val="subscript"/>
        </w:rPr>
        <w:t>sec</w:t>
      </w:r>
      <w:r>
        <w:rPr>
          <w:rFonts w:ascii="Arial" w:hAnsi="Arial"/>
          <w:b w:val="0"/>
          <w:i/>
          <w:sz w:val="20"/>
        </w:rPr>
        <w:t xml:space="preserve"> - J</w:t>
      </w:r>
      <w:r>
        <w:rPr>
          <w:rFonts w:ascii="Arial" w:hAnsi="Arial"/>
          <w:b w:val="0"/>
          <w:i w:val="0"/>
          <w:sz w:val="20"/>
          <w:vertAlign w:val="subscript"/>
        </w:rPr>
        <w:t>elong</w:t>
      </w:r>
      <w:r>
        <w:rPr>
          <w:rFonts w:ascii="Arial" w:hAnsi="Arial"/>
          <w:b w:val="0"/>
          <w:i/>
          <w:sz w:val="20"/>
        </w:rPr>
        <w:t xml:space="preserve"> - J</w:t>
      </w:r>
      <w:r>
        <w:rPr>
          <w:rFonts w:ascii="Arial" w:hAnsi="Arial"/>
          <w:b w:val="0"/>
          <w:i w:val="0"/>
          <w:sz w:val="20"/>
          <w:vertAlign w:val="subscript"/>
        </w:rPr>
        <w:t>extract</w:t>
      </w:r>
    </w:p>
    <w:p>
      <w:pPr>
        <w:spacing w:before="60" w:after="100"/>
        <w:jc w:val="center"/>
      </w:pPr>
      <w:r>
        <w:rPr>
          <w:rFonts w:ascii="Arial" w:hAnsi="Arial"/>
          <w:b w:val="0"/>
          <w:i/>
          <w:sz w:val="20"/>
        </w:rPr>
        <w:t>dP</w:t>
      </w:r>
      <w:r>
        <w:rPr>
          <w:rFonts w:ascii="Arial" w:hAnsi="Arial"/>
          <w:b w:val="0"/>
          <w:i w:val="0"/>
          <w:sz w:val="20"/>
          <w:vertAlign w:val="subscript"/>
        </w:rPr>
        <w:t>drop</w:t>
      </w:r>
      <w:r>
        <w:rPr>
          <w:rFonts w:ascii="Arial" w:hAnsi="Arial"/>
          <w:b w:val="0"/>
          <w:i/>
          <w:sz w:val="20"/>
        </w:rPr>
        <w:t>/dt   = J</w:t>
      </w:r>
      <w:r>
        <w:rPr>
          <w:rFonts w:ascii="Arial" w:hAnsi="Arial"/>
          <w:b w:val="0"/>
          <w:i w:val="0"/>
          <w:sz w:val="20"/>
          <w:vertAlign w:val="subscript"/>
        </w:rPr>
        <w:t>prim</w:t>
      </w:r>
      <w:r>
        <w:rPr>
          <w:rFonts w:ascii="Arial" w:hAnsi="Arial"/>
          <w:b w:val="0"/>
          <w:i/>
          <w:sz w:val="20"/>
        </w:rPr>
        <w:t xml:space="preserve"> + J</w:t>
      </w:r>
      <w:r>
        <w:rPr>
          <w:rFonts w:ascii="Arial" w:hAnsi="Arial"/>
          <w:b w:val="0"/>
          <w:i w:val="0"/>
          <w:sz w:val="20"/>
          <w:vertAlign w:val="subscript"/>
        </w:rPr>
        <w:t>sec</w:t>
      </w:r>
    </w:p>
    <w:p>
      <w:pPr>
        <w:spacing w:before="60" w:after="100"/>
        <w:jc w:val="center"/>
      </w:pPr>
      <w:r>
        <w:rPr>
          <w:rFonts w:ascii="Arial" w:hAnsi="Arial"/>
          <w:b w:val="0"/>
          <w:i/>
          <w:sz w:val="20"/>
        </w:rPr>
        <w:t>dM</w:t>
      </w:r>
      <w:r>
        <w:rPr>
          <w:rFonts w:ascii="Arial" w:hAnsi="Arial"/>
          <w:b w:val="0"/>
          <w:i w:val="0"/>
          <w:sz w:val="20"/>
          <w:vertAlign w:val="subscript"/>
        </w:rPr>
        <w:t>drop</w:t>
      </w:r>
      <w:r>
        <w:rPr>
          <w:rFonts w:ascii="Arial" w:hAnsi="Arial"/>
          <w:b w:val="0"/>
          <w:i/>
          <w:sz w:val="20"/>
        </w:rPr>
        <w:t>/dt   = n</w:t>
      </w:r>
      <w:r>
        <w:rPr>
          <w:rFonts w:ascii="Arial" w:hAnsi="Arial"/>
          <w:b w:val="0"/>
          <w:i w:val="0"/>
          <w:sz w:val="20"/>
          <w:vertAlign w:val="subscript"/>
        </w:rPr>
        <w:t>c</w:t>
      </w:r>
      <w:r>
        <w:rPr>
          <w:rFonts w:ascii="Arial" w:hAnsi="Arial"/>
          <w:b w:val="0"/>
          <w:i/>
          <w:sz w:val="20"/>
        </w:rPr>
        <w:t xml:space="preserve"> J</w:t>
      </w:r>
      <w:r>
        <w:rPr>
          <w:rFonts w:ascii="Arial" w:hAnsi="Arial"/>
          <w:b w:val="0"/>
          <w:i w:val="0"/>
          <w:sz w:val="20"/>
          <w:vertAlign w:val="subscript"/>
        </w:rPr>
        <w:t>prim</w:t>
      </w:r>
      <w:r>
        <w:rPr>
          <w:rFonts w:ascii="Arial" w:hAnsi="Arial"/>
          <w:b w:val="0"/>
          <w:i/>
          <w:sz w:val="20"/>
        </w:rPr>
        <w:t xml:space="preserve"> + n</w:t>
      </w:r>
      <w:r>
        <w:rPr>
          <w:rFonts w:ascii="Arial" w:hAnsi="Arial"/>
          <w:b w:val="0"/>
          <w:i w:val="0"/>
          <w:sz w:val="20"/>
          <w:vertAlign w:val="subscript"/>
        </w:rPr>
        <w:t>2</w:t>
      </w:r>
      <w:r>
        <w:rPr>
          <w:rFonts w:ascii="Arial" w:hAnsi="Arial"/>
          <w:b w:val="0"/>
          <w:i/>
          <w:sz w:val="20"/>
        </w:rPr>
        <w:t xml:space="preserve"> J</w:t>
      </w:r>
      <w:r>
        <w:rPr>
          <w:rFonts w:ascii="Arial" w:hAnsi="Arial"/>
          <w:b w:val="0"/>
          <w:i w:val="0"/>
          <w:sz w:val="20"/>
          <w:vertAlign w:val="subscript"/>
        </w:rPr>
        <w:t>sec</w:t>
      </w:r>
      <w:r>
        <w:rPr>
          <w:rFonts w:ascii="Arial" w:hAnsi="Arial"/>
          <w:b w:val="0"/>
          <w:i/>
          <w:sz w:val="20"/>
        </w:rPr>
        <w:t xml:space="preserve"> + J</w:t>
      </w:r>
      <w:r>
        <w:rPr>
          <w:rFonts w:ascii="Arial" w:hAnsi="Arial"/>
          <w:b w:val="0"/>
          <w:i w:val="0"/>
          <w:sz w:val="20"/>
          <w:vertAlign w:val="subscript"/>
        </w:rPr>
        <w:t>elong</w:t>
      </w:r>
    </w:p>
    <w:p>
      <w:pPr>
        <w:spacing w:before="60" w:after="100"/>
        <w:jc w:val="center"/>
      </w:pPr>
      <w:r>
        <w:rPr>
          <w:rFonts w:ascii="Arial" w:hAnsi="Arial"/>
          <w:b w:val="0"/>
          <w:i/>
          <w:sz w:val="20"/>
        </w:rPr>
        <w:t>dm</w:t>
      </w:r>
      <w:r>
        <w:rPr>
          <w:rFonts w:ascii="Arial" w:hAnsi="Arial"/>
          <w:b w:val="0"/>
          <w:i w:val="0"/>
          <w:sz w:val="20"/>
          <w:vertAlign w:val="subscript"/>
        </w:rPr>
        <w:t>ads</w:t>
      </w:r>
      <w:r>
        <w:rPr>
          <w:rFonts w:ascii="Arial" w:hAnsi="Arial"/>
          <w:b w:val="0"/>
          <w:i/>
          <w:sz w:val="20"/>
        </w:rPr>
        <w:t>/dt    = J</w:t>
      </w:r>
      <w:r>
        <w:rPr>
          <w:rFonts w:ascii="Arial" w:hAnsi="Arial"/>
          <w:b w:val="0"/>
          <w:i w:val="0"/>
          <w:sz w:val="20"/>
          <w:vertAlign w:val="subscript"/>
        </w:rPr>
        <w:t>extract</w:t>
      </w:r>
    </w:p>
    <w:p>
      <w:pPr>
        <w:spacing w:after="100"/>
      </w:pPr>
      <w:r>
        <w:rPr>
          <w:rFonts w:ascii="Arial" w:hAnsi="Arial"/>
          <w:b w:val="0"/>
          <w:i w:val="0"/>
          <w:sz w:val="20"/>
        </w:rPr>
        <w:t>where the individual microscopic fluxes are defined with strictly dimensional units [h⁻¹]:</w:t>
      </w:r>
    </w:p>
    <w:p>
      <w:pPr>
        <w:spacing w:before="60" w:after="100"/>
        <w:jc w:val="center"/>
      </w:pPr>
      <w:r>
        <w:rPr>
          <w:rFonts w:ascii="Arial" w:hAnsi="Arial"/>
          <w:b w:val="0"/>
          <w:i/>
          <w:sz w:val="20"/>
        </w:rPr>
        <w:t>J</w:t>
      </w:r>
      <w:r>
        <w:rPr>
          <w:rFonts w:ascii="Arial" w:hAnsi="Arial"/>
          <w:b w:val="0"/>
          <w:i w:val="0"/>
          <w:sz w:val="20"/>
          <w:vertAlign w:val="subscript"/>
        </w:rPr>
        <w:t>prim</w:t>
      </w:r>
      <w:r>
        <w:rPr>
          <w:rFonts w:ascii="Arial" w:hAnsi="Arial"/>
          <w:b w:val="0"/>
          <w:i/>
          <w:sz w:val="20"/>
        </w:rPr>
        <w:t xml:space="preserve"> = k</w:t>
      </w:r>
      <w:r>
        <w:rPr>
          <w:rFonts w:ascii="Arial" w:hAnsi="Arial"/>
          <w:b w:val="0"/>
          <w:i w:val="0"/>
          <w:sz w:val="20"/>
          <w:vertAlign w:val="subscript"/>
        </w:rPr>
        <w:t>n</w:t>
      </w:r>
      <w:r>
        <w:rPr>
          <w:rFonts w:ascii="Arial" w:hAnsi="Arial"/>
          <w:b w:val="0"/>
          <w:i/>
          <w:sz w:val="20"/>
        </w:rPr>
        <w:t xml:space="preserve"> φ</w:t>
      </w:r>
      <w:r>
        <w:rPr>
          <w:rFonts w:ascii="Arial" w:hAnsi="Arial"/>
          <w:b w:val="0"/>
          <w:i w:val="0"/>
          <w:sz w:val="20"/>
          <w:vertAlign w:val="subscript"/>
        </w:rPr>
        <w:t>dense</w:t>
      </w:r>
      <w:r>
        <w:rPr>
          <w:rFonts w:ascii="Arial" w:hAnsi="Arial"/>
          <w:b w:val="0"/>
          <w:i w:val="0"/>
          <w:sz w:val="20"/>
          <w:vertAlign w:val="superscript"/>
        </w:rPr>
        <w:t>n_c</w:t>
      </w:r>
      <w:r>
        <w:rPr>
          <w:rFonts w:ascii="Arial" w:hAnsi="Arial"/>
          <w:b w:val="0"/>
          <w:i/>
          <w:sz w:val="20"/>
        </w:rPr>
        <w:t>,    J</w:t>
      </w:r>
      <w:r>
        <w:rPr>
          <w:rFonts w:ascii="Arial" w:hAnsi="Arial"/>
          <w:b w:val="0"/>
          <w:i w:val="0"/>
          <w:sz w:val="20"/>
          <w:vertAlign w:val="subscript"/>
        </w:rPr>
        <w:t>sec</w:t>
      </w:r>
      <w:r>
        <w:rPr>
          <w:rFonts w:ascii="Arial" w:hAnsi="Arial"/>
          <w:b w:val="0"/>
          <w:i/>
          <w:sz w:val="20"/>
        </w:rPr>
        <w:t xml:space="preserve"> = k</w:t>
      </w:r>
      <w:r>
        <w:rPr>
          <w:rFonts w:ascii="Arial" w:hAnsi="Arial"/>
          <w:b w:val="0"/>
          <w:i w:val="0"/>
          <w:sz w:val="20"/>
          <w:vertAlign w:val="subscript"/>
        </w:rPr>
        <w:t>2</w:t>
      </w:r>
      <w:r>
        <w:rPr>
          <w:rFonts w:ascii="Arial" w:hAnsi="Arial"/>
          <w:b w:val="0"/>
          <w:i/>
          <w:sz w:val="20"/>
        </w:rPr>
        <w:t xml:space="preserve"> φ</w:t>
      </w:r>
      <w:r>
        <w:rPr>
          <w:rFonts w:ascii="Arial" w:hAnsi="Arial"/>
          <w:b w:val="0"/>
          <w:i w:val="0"/>
          <w:sz w:val="20"/>
          <w:vertAlign w:val="subscript"/>
        </w:rPr>
        <w:t>dense</w:t>
      </w:r>
      <w:r>
        <w:rPr>
          <w:rFonts w:ascii="Arial" w:hAnsi="Arial"/>
          <w:b w:val="0"/>
          <w:i w:val="0"/>
          <w:sz w:val="20"/>
          <w:vertAlign w:val="superscript"/>
        </w:rPr>
        <w:t>n_2</w:t>
      </w:r>
      <w:r>
        <w:rPr>
          <w:rFonts w:ascii="Arial" w:hAnsi="Arial"/>
          <w:b w:val="0"/>
          <w:i/>
          <w:sz w:val="20"/>
        </w:rPr>
        <w:t xml:space="preserve"> M</w:t>
      </w:r>
      <w:r>
        <w:rPr>
          <w:rFonts w:ascii="Arial" w:hAnsi="Arial"/>
          <w:b w:val="0"/>
          <w:i w:val="0"/>
          <w:sz w:val="20"/>
          <w:vertAlign w:val="subscript"/>
        </w:rPr>
        <w:t>drop</w:t>
      </w:r>
      <w:r>
        <w:rPr>
          <w:rFonts w:ascii="Arial" w:hAnsi="Arial"/>
          <w:b w:val="0"/>
          <w:i/>
          <w:sz w:val="20"/>
        </w:rPr>
        <w:t>,    J</w:t>
      </w:r>
      <w:r>
        <w:rPr>
          <w:rFonts w:ascii="Arial" w:hAnsi="Arial"/>
          <w:b w:val="0"/>
          <w:i w:val="0"/>
          <w:sz w:val="20"/>
          <w:vertAlign w:val="subscript"/>
        </w:rPr>
        <w:t>elong</w:t>
      </w:r>
      <w:r>
        <w:rPr>
          <w:rFonts w:ascii="Arial" w:hAnsi="Arial"/>
          <w:b w:val="0"/>
          <w:i/>
          <w:sz w:val="20"/>
        </w:rPr>
        <w:t xml:space="preserve"> = 2 k</w:t>
      </w:r>
      <w:r>
        <w:rPr>
          <w:rFonts w:ascii="Arial" w:hAnsi="Arial"/>
          <w:b w:val="0"/>
          <w:i w:val="0"/>
          <w:sz w:val="20"/>
          <w:vertAlign w:val="subscript"/>
        </w:rPr>
        <w:t>+</w:t>
      </w:r>
      <w:r>
        <w:rPr>
          <w:rFonts w:ascii="Arial" w:hAnsi="Arial"/>
          <w:b w:val="0"/>
          <w:i/>
          <w:sz w:val="20"/>
        </w:rPr>
        <w:t xml:space="preserve"> φ</w:t>
      </w:r>
      <w:r>
        <w:rPr>
          <w:rFonts w:ascii="Arial" w:hAnsi="Arial"/>
          <w:b w:val="0"/>
          <w:i w:val="0"/>
          <w:sz w:val="20"/>
          <w:vertAlign w:val="subscript"/>
        </w:rPr>
        <w:t>dense</w:t>
      </w:r>
      <w:r>
        <w:rPr>
          <w:rFonts w:ascii="Arial" w:hAnsi="Arial"/>
          <w:b w:val="0"/>
          <w:i/>
          <w:sz w:val="20"/>
        </w:rPr>
        <w:t xml:space="preserve"> P</w:t>
      </w:r>
      <w:r>
        <w:rPr>
          <w:rFonts w:ascii="Arial" w:hAnsi="Arial"/>
          <w:b w:val="0"/>
          <w:i w:val="0"/>
          <w:sz w:val="20"/>
          <w:vertAlign w:val="subscript"/>
        </w:rPr>
        <w:t>drop</w:t>
      </w:r>
    </w:p>
    <w:p>
      <w:pPr>
        <w:spacing w:before="60" w:after="100"/>
        <w:jc w:val="center"/>
      </w:pPr>
      <w:r>
        <w:rPr>
          <w:rFonts w:ascii="Arial" w:hAnsi="Arial"/>
          <w:b w:val="0"/>
          <w:i/>
          <w:sz w:val="20"/>
        </w:rPr>
        <w:t>J</w:t>
      </w:r>
      <w:r>
        <w:rPr>
          <w:rFonts w:ascii="Arial" w:hAnsi="Arial"/>
          <w:b w:val="0"/>
          <w:i w:val="0"/>
          <w:sz w:val="20"/>
          <w:vertAlign w:val="subscript"/>
        </w:rPr>
        <w:t>extract</w:t>
      </w:r>
      <w:r>
        <w:rPr>
          <w:rFonts w:ascii="Arial" w:hAnsi="Arial"/>
          <w:b w:val="0"/>
          <w:i/>
          <w:sz w:val="20"/>
        </w:rPr>
        <w:t xml:space="preserve"> = k</w:t>
      </w:r>
      <w:r>
        <w:rPr>
          <w:rFonts w:ascii="Arial" w:hAnsi="Arial"/>
          <w:b w:val="0"/>
          <w:i w:val="0"/>
          <w:sz w:val="20"/>
          <w:vertAlign w:val="subscript"/>
        </w:rPr>
        <w:t>ext</w:t>
      </w:r>
      <w:r>
        <w:rPr>
          <w:rFonts w:ascii="Arial" w:hAnsi="Arial"/>
          <w:b w:val="0"/>
          <w:i/>
          <w:sz w:val="20"/>
        </w:rPr>
        <w:t xml:space="preserve"> m̃</w:t>
      </w:r>
      <w:r>
        <w:rPr>
          <w:rFonts w:ascii="Arial" w:hAnsi="Arial"/>
          <w:b w:val="0"/>
          <w:i w:val="0"/>
          <w:sz w:val="20"/>
          <w:vertAlign w:val="subscript"/>
        </w:rPr>
        <w:t>max</w:t>
      </w:r>
      <w:r>
        <w:rPr>
          <w:rFonts w:ascii="Arial" w:hAnsi="Arial"/>
          <w:b w:val="0"/>
          <w:i/>
          <w:sz w:val="20"/>
        </w:rPr>
        <w:t xml:space="preserve"> (1 - θ</w:t>
      </w:r>
      <w:r>
        <w:rPr>
          <w:rFonts w:ascii="Arial" w:hAnsi="Arial"/>
          <w:b w:val="0"/>
          <w:i w:val="0"/>
          <w:sz w:val="20"/>
          <w:vertAlign w:val="subscript"/>
        </w:rPr>
        <w:t>sat</w:t>
      </w:r>
      <w:r>
        <w:rPr>
          <w:rFonts w:ascii="Arial" w:hAnsi="Arial"/>
          <w:b w:val="0"/>
          <w:i/>
          <w:sz w:val="20"/>
        </w:rPr>
        <w:t>) φ</w:t>
      </w:r>
      <w:r>
        <w:rPr>
          <w:rFonts w:ascii="Arial" w:hAnsi="Arial"/>
          <w:b w:val="0"/>
          <w:i w:val="0"/>
          <w:sz w:val="20"/>
          <w:vertAlign w:val="subscript"/>
        </w:rPr>
        <w:t>dense</w:t>
      </w:r>
      <w:r>
        <w:rPr>
          <w:rFonts w:ascii="Arial" w:hAnsi="Arial"/>
          <w:b w:val="0"/>
          <w:i/>
          <w:sz w:val="20"/>
        </w:rPr>
        <w:t xml:space="preserve"> - k</w:t>
      </w:r>
      <w:r>
        <w:rPr>
          <w:rFonts w:ascii="Arial" w:hAnsi="Arial"/>
          <w:b w:val="0"/>
          <w:i w:val="0"/>
          <w:sz w:val="20"/>
          <w:vertAlign w:val="subscript"/>
        </w:rPr>
        <w:t>des</w:t>
      </w:r>
      <w:r>
        <w:rPr>
          <w:rFonts w:ascii="Arial" w:hAnsi="Arial"/>
          <w:b w:val="0"/>
          <w:i/>
          <w:sz w:val="20"/>
        </w:rPr>
        <w:t xml:space="preserve"> m</w:t>
      </w:r>
      <w:r>
        <w:rPr>
          <w:rFonts w:ascii="Arial" w:hAnsi="Arial"/>
          <w:b w:val="0"/>
          <w:i w:val="0"/>
          <w:sz w:val="20"/>
          <w:vertAlign w:val="subscript"/>
        </w:rPr>
        <w:t>ads</w:t>
      </w:r>
    </w:p>
    <w:p>
      <w:pPr>
        <w:spacing w:after="100"/>
      </w:pPr>
      <w:r>
        <w:rPr>
          <w:rFonts w:ascii="Arial" w:hAnsi="Arial"/>
          <w:b w:val="0"/>
          <w:i w:val="0"/>
          <w:sz w:val="20"/>
        </w:rPr>
        <w:t>with dimensionless capacity m̃</w:t>
      </w:r>
      <w:r>
        <w:rPr>
          <w:rFonts w:ascii="Arial" w:hAnsi="Arial"/>
          <w:b w:val="0"/>
          <w:i w:val="0"/>
          <w:sz w:val="20"/>
          <w:vertAlign w:val="subscript"/>
        </w:rPr>
        <w:t>max</w:t>
      </w:r>
      <w:r>
        <w:rPr>
          <w:rFonts w:ascii="Arial" w:hAnsi="Arial"/>
          <w:b w:val="0"/>
          <w:i w:val="0"/>
          <w:sz w:val="20"/>
        </w:rPr>
        <w:t xml:space="preserve"> = s</w:t>
      </w:r>
      <w:r>
        <w:rPr>
          <w:rFonts w:ascii="Arial" w:hAnsi="Arial"/>
          <w:b w:val="0"/>
          <w:i w:val="0"/>
          <w:sz w:val="20"/>
          <w:vertAlign w:val="subscript"/>
        </w:rPr>
        <w:t>φ</w:t>
      </w:r>
      <w:r>
        <w:rPr>
          <w:rFonts w:ascii="Arial" w:hAnsi="Arial"/>
          <w:b w:val="0"/>
          <w:i w:val="0"/>
          <w:sz w:val="20"/>
        </w:rPr>
        <w:t xml:space="preserve"> (a</w:t>
      </w:r>
      <w:r>
        <w:rPr>
          <w:rFonts w:ascii="Arial" w:hAnsi="Arial"/>
          <w:b w:val="0"/>
          <w:i w:val="0"/>
          <w:sz w:val="20"/>
          <w:vertAlign w:val="subscript"/>
        </w:rPr>
        <w:t>s</w:t>
      </w:r>
      <w:r>
        <w:rPr>
          <w:rFonts w:ascii="Arial" w:hAnsi="Arial"/>
          <w:b w:val="0"/>
          <w:i w:val="0"/>
          <w:sz w:val="20"/>
        </w:rPr>
        <w:t xml:space="preserve"> Γ</w:t>
      </w:r>
      <w:r>
        <w:rPr>
          <w:rFonts w:ascii="Arial" w:hAnsi="Arial"/>
          <w:b w:val="0"/>
          <w:i w:val="0"/>
          <w:sz w:val="20"/>
          <w:vertAlign w:val="subscript"/>
        </w:rPr>
        <w:t>max</w:t>
      </w:r>
      <w:r>
        <w:rPr>
          <w:rFonts w:ascii="Arial" w:hAnsi="Arial"/>
          <w:b w:val="0"/>
          <w:i w:val="0"/>
          <w:sz w:val="20"/>
        </w:rPr>
        <w:t xml:space="preserve"> 10³⁰ / N</w:t>
      </w:r>
      <w:r>
        <w:rPr>
          <w:rFonts w:ascii="Arial" w:hAnsi="Arial"/>
          <w:b w:val="0"/>
          <w:i w:val="0"/>
          <w:sz w:val="20"/>
          <w:vertAlign w:val="subscript"/>
        </w:rPr>
        <w:t>A</w:t>
      </w:r>
      <w:r>
        <w:rPr>
          <w:rFonts w:ascii="Arial" w:hAnsi="Arial"/>
          <w:b w:val="0"/>
          <w:i w:val="0"/>
          <w:sz w:val="20"/>
        </w:rPr>
        <w:t>), saturation θ</w:t>
      </w:r>
      <w:r>
        <w:rPr>
          <w:rFonts w:ascii="Arial" w:hAnsi="Arial"/>
          <w:b w:val="0"/>
          <w:i w:val="0"/>
          <w:sz w:val="20"/>
          <w:vertAlign w:val="subscript"/>
        </w:rPr>
        <w:t>sat</w:t>
      </w:r>
      <w:r>
        <w:rPr>
          <w:rFonts w:ascii="Arial" w:hAnsi="Arial"/>
          <w:b w:val="0"/>
          <w:i w:val="0"/>
          <w:sz w:val="20"/>
        </w:rPr>
        <w:t xml:space="preserve"> = m</w:t>
      </w:r>
      <w:r>
        <w:rPr>
          <w:rFonts w:ascii="Arial" w:hAnsi="Arial"/>
          <w:b w:val="0"/>
          <w:i w:val="0"/>
          <w:sz w:val="20"/>
          <w:vertAlign w:val="subscript"/>
        </w:rPr>
        <w:t>ads</w:t>
      </w:r>
      <w:r>
        <w:rPr>
          <w:rFonts w:ascii="Arial" w:hAnsi="Arial"/>
          <w:b w:val="0"/>
          <w:i w:val="0"/>
          <w:sz w:val="20"/>
        </w:rPr>
        <w:t xml:space="preserve"> / (m̃</w:t>
      </w:r>
      <w:r>
        <w:rPr>
          <w:rFonts w:ascii="Arial" w:hAnsi="Arial"/>
          <w:b w:val="0"/>
          <w:i w:val="0"/>
          <w:sz w:val="20"/>
          <w:vertAlign w:val="subscript"/>
        </w:rPr>
        <w:t>max</w:t>
      </w:r>
      <w:r>
        <w:rPr>
          <w:rFonts w:ascii="Arial" w:hAnsi="Arial"/>
          <w:b w:val="0"/>
          <w:i w:val="0"/>
          <w:sz w:val="20"/>
        </w:rPr>
        <w:t xml:space="preserve"> + 10⁻¹²), reaction orders n</w:t>
      </w:r>
      <w:r>
        <w:rPr>
          <w:rFonts w:ascii="Arial" w:hAnsi="Arial"/>
          <w:b w:val="0"/>
          <w:i w:val="0"/>
          <w:sz w:val="20"/>
          <w:vertAlign w:val="subscript"/>
        </w:rPr>
        <w:t>c</w:t>
      </w:r>
      <w:r>
        <w:rPr>
          <w:rFonts w:ascii="Arial" w:hAnsi="Arial"/>
          <w:b w:val="0"/>
          <w:i w:val="0"/>
          <w:sz w:val="20"/>
        </w:rPr>
        <w:t xml:space="preserve"> = 2.0, n</w:t>
      </w:r>
      <w:r>
        <w:rPr>
          <w:rFonts w:ascii="Arial" w:hAnsi="Arial"/>
          <w:b w:val="0"/>
          <w:i w:val="0"/>
          <w:sz w:val="20"/>
          <w:vertAlign w:val="subscript"/>
        </w:rPr>
        <w:t>2</w:t>
      </w:r>
      <w:r>
        <w:rPr>
          <w:rFonts w:ascii="Arial" w:hAnsi="Arial"/>
          <w:b w:val="0"/>
          <w:i w:val="0"/>
          <w:sz w:val="20"/>
        </w:rPr>
        <w:t xml:space="preserve"> = 2.0, and kinetic constants k</w:t>
      </w:r>
      <w:r>
        <w:rPr>
          <w:rFonts w:ascii="Arial" w:hAnsi="Arial"/>
          <w:b w:val="0"/>
          <w:i w:val="0"/>
          <w:sz w:val="20"/>
          <w:vertAlign w:val="subscript"/>
        </w:rPr>
        <w:t>n</w:t>
      </w:r>
      <w:r>
        <w:rPr>
          <w:rFonts w:ascii="Arial" w:hAnsi="Arial"/>
          <w:b w:val="0"/>
          <w:i w:val="0"/>
          <w:sz w:val="20"/>
        </w:rPr>
        <w:t xml:space="preserve"> = 1.5×10⁻⁴ h⁻¹, k</w:t>
      </w:r>
      <w:r>
        <w:rPr>
          <w:rFonts w:ascii="Arial" w:hAnsi="Arial"/>
          <w:b w:val="0"/>
          <w:i w:val="0"/>
          <w:sz w:val="20"/>
          <w:vertAlign w:val="subscript"/>
        </w:rPr>
        <w:t>2</w:t>
      </w:r>
      <w:r>
        <w:rPr>
          <w:rFonts w:ascii="Arial" w:hAnsi="Arial"/>
          <w:b w:val="0"/>
          <w:i w:val="0"/>
          <w:sz w:val="20"/>
        </w:rPr>
        <w:t xml:space="preserve"> = 2.8×10⁻² h⁻¹, k</w:t>
      </w:r>
      <w:r>
        <w:rPr>
          <w:rFonts w:ascii="Arial" w:hAnsi="Arial"/>
          <w:b w:val="0"/>
          <w:i w:val="0"/>
          <w:sz w:val="20"/>
          <w:vertAlign w:val="subscript"/>
        </w:rPr>
        <w:t>+</w:t>
      </w:r>
      <w:r>
        <w:rPr>
          <w:rFonts w:ascii="Arial" w:hAnsi="Arial"/>
          <w:b w:val="0"/>
          <w:i w:val="0"/>
          <w:sz w:val="20"/>
        </w:rPr>
        <w:t xml:space="preserve"> = 1.2×10² h⁻¹. Initial conditions: φ</w:t>
      </w:r>
      <w:r>
        <w:rPr>
          <w:rFonts w:ascii="Arial" w:hAnsi="Arial"/>
          <w:b w:val="0"/>
          <w:i w:val="0"/>
          <w:sz w:val="20"/>
          <w:vertAlign w:val="subscript"/>
        </w:rPr>
        <w:t>dense</w:t>
      </w:r>
      <w:r>
        <w:rPr>
          <w:rFonts w:ascii="Arial" w:hAnsi="Arial"/>
          <w:b w:val="0"/>
          <w:i w:val="0"/>
          <w:sz w:val="20"/>
        </w:rPr>
        <w:t>(0) = 0.60, P</w:t>
      </w:r>
      <w:r>
        <w:rPr>
          <w:rFonts w:ascii="Arial" w:hAnsi="Arial"/>
          <w:b w:val="0"/>
          <w:i w:val="0"/>
          <w:sz w:val="20"/>
          <w:vertAlign w:val="subscript"/>
        </w:rPr>
        <w:t>drop</w:t>
      </w:r>
      <w:r>
        <w:rPr>
          <w:rFonts w:ascii="Arial" w:hAnsi="Arial"/>
          <w:b w:val="0"/>
          <w:i w:val="0"/>
          <w:sz w:val="20"/>
        </w:rPr>
        <w:t>(0) = 10⁻⁶, M</w:t>
      </w:r>
      <w:r>
        <w:rPr>
          <w:rFonts w:ascii="Arial" w:hAnsi="Arial"/>
          <w:b w:val="0"/>
          <w:i w:val="0"/>
          <w:sz w:val="20"/>
          <w:vertAlign w:val="subscript"/>
        </w:rPr>
        <w:t>drop</w:t>
      </w:r>
      <w:r>
        <w:rPr>
          <w:rFonts w:ascii="Arial" w:hAnsi="Arial"/>
          <w:b w:val="0"/>
          <w:i w:val="0"/>
          <w:sz w:val="20"/>
        </w:rPr>
        <w:t>(0) = 0, m</w:t>
      </w:r>
      <w:r>
        <w:rPr>
          <w:rFonts w:ascii="Arial" w:hAnsi="Arial"/>
          <w:b w:val="0"/>
          <w:i w:val="0"/>
          <w:sz w:val="20"/>
          <w:vertAlign w:val="subscript"/>
        </w:rPr>
        <w:t>ads</w:t>
      </w:r>
      <w:r>
        <w:rPr>
          <w:rFonts w:ascii="Arial" w:hAnsi="Arial"/>
          <w:b w:val="0"/>
          <w:i w:val="0"/>
          <w:sz w:val="20"/>
        </w:rPr>
        <w:t>(0) = 0. Solved using LSODA with rtol = 10⁻⁷, atol = 10⁻⁹. The system satisfies d(φ</w:t>
      </w:r>
      <w:r>
        <w:rPr>
          <w:rFonts w:ascii="Arial" w:hAnsi="Arial"/>
          <w:b w:val="0"/>
          <w:i w:val="0"/>
          <w:sz w:val="20"/>
          <w:vertAlign w:val="subscript"/>
        </w:rPr>
        <w:t>dense</w:t>
      </w:r>
      <w:r>
        <w:rPr>
          <w:rFonts w:ascii="Arial" w:hAnsi="Arial"/>
          <w:b w:val="0"/>
          <w:i w:val="0"/>
          <w:sz w:val="20"/>
        </w:rPr>
        <w:t xml:space="preserve"> + M</w:t>
      </w:r>
      <w:r>
        <w:rPr>
          <w:rFonts w:ascii="Arial" w:hAnsi="Arial"/>
          <w:b w:val="0"/>
          <w:i w:val="0"/>
          <w:sz w:val="20"/>
          <w:vertAlign w:val="subscript"/>
        </w:rPr>
        <w:t>drop</w:t>
      </w:r>
      <w:r>
        <w:rPr>
          <w:rFonts w:ascii="Arial" w:hAnsi="Arial"/>
          <w:b w:val="0"/>
          <w:i w:val="0"/>
          <w:sz w:val="20"/>
        </w:rPr>
        <w:t xml:space="preserve"> + m</w:t>
      </w:r>
      <w:r>
        <w:rPr>
          <w:rFonts w:ascii="Arial" w:hAnsi="Arial"/>
          <w:b w:val="0"/>
          <w:i w:val="0"/>
          <w:sz w:val="20"/>
          <w:vertAlign w:val="subscript"/>
        </w:rPr>
        <w:t>ads</w:t>
      </w:r>
      <w:r>
        <w:rPr>
          <w:rFonts w:ascii="Arial" w:hAnsi="Arial"/>
          <w:b w:val="0"/>
          <w:i w:val="0"/>
          <w:sz w:val="20"/>
        </w:rPr>
        <w:t>)/dt = 0 to machine precision (&lt; 10⁻¹⁵). Solidification lag time is defined as: τ</w:t>
      </w:r>
      <w:r>
        <w:rPr>
          <w:rFonts w:ascii="Arial" w:hAnsi="Arial"/>
          <w:b w:val="0"/>
          <w:i w:val="0"/>
          <w:sz w:val="20"/>
          <w:vertAlign w:val="subscript"/>
        </w:rPr>
        <w:t>lag</w:t>
      </w:r>
      <w:r>
        <w:rPr>
          <w:rFonts w:ascii="Arial" w:hAnsi="Arial"/>
          <w:b w:val="0"/>
          <w:i w:val="0"/>
          <w:sz w:val="20"/>
        </w:rPr>
        <w:t xml:space="preserve"> = inf { t : M</w:t>
      </w:r>
      <w:r>
        <w:rPr>
          <w:rFonts w:ascii="Arial" w:hAnsi="Arial"/>
          <w:b w:val="0"/>
          <w:i w:val="0"/>
          <w:sz w:val="20"/>
          <w:vertAlign w:val="subscript"/>
        </w:rPr>
        <w:t>drop</w:t>
      </w:r>
      <w:r>
        <w:rPr>
          <w:rFonts w:ascii="Arial" w:hAnsi="Arial"/>
          <w:b w:val="0"/>
          <w:i w:val="0"/>
          <w:sz w:val="20"/>
        </w:rPr>
        <w:t>(t) ≥ 0.10 M</w:t>
      </w:r>
      <w:r>
        <w:rPr>
          <w:rFonts w:ascii="Arial" w:hAnsi="Arial"/>
          <w:b w:val="0"/>
          <w:i w:val="0"/>
          <w:sz w:val="20"/>
          <w:vertAlign w:val="subscript"/>
        </w:rPr>
        <w:t>control</w:t>
      </w:r>
      <w:r>
        <w:rPr>
          <w:rFonts w:ascii="Arial" w:hAnsi="Arial"/>
          <w:b w:val="0"/>
          <w:i w:val="0"/>
          <w:sz w:val="20"/>
        </w:rPr>
        <w:t>(72 h) }.</w:t>
      </w:r>
    </w:p>
    <w:p>
      <w:pPr>
        <w:spacing w:before="200" w:after="60"/>
      </w:pPr>
      <w:r>
        <w:rPr>
          <w:rFonts w:ascii="Arial" w:hAnsi="Arial"/>
          <w:b/>
          <w:sz w:val="21"/>
        </w:rPr>
        <w:t>3.6 Sobol Sensitivity Analysis and Table 3</w:t>
      </w:r>
    </w:p>
    <w:p>
      <w:pPr>
        <w:spacing w:after="100"/>
      </w:pPr>
      <w:r>
        <w:rPr>
          <w:rFonts w:ascii="Arial" w:hAnsi="Arial"/>
          <w:b w:val="0"/>
          <w:i w:val="0"/>
          <w:sz w:val="20"/>
        </w:rPr>
        <w:t>Variance-based global sensitivity analysis was performed over the 8 parameter distributions detailed in Table 3 (D = 8) using SALib (v1.5) under the Saltelli extension of the Sobol low-discrepancy sequence [20-22]. A scrambled quasi-random Sobol sequence of base sample size N</w:t>
      </w:r>
      <w:r>
        <w:rPr>
          <w:rFonts w:ascii="Arial" w:hAnsi="Arial"/>
          <w:b w:val="0"/>
          <w:i w:val="0"/>
          <w:sz w:val="20"/>
          <w:vertAlign w:val="subscript"/>
        </w:rPr>
        <w:t>base</w:t>
      </w:r>
      <w:r>
        <w:rPr>
          <w:rFonts w:ascii="Arial" w:hAnsi="Arial"/>
          <w:b w:val="0"/>
          <w:i w:val="0"/>
          <w:sz w:val="20"/>
        </w:rPr>
        <w:t xml:space="preserve"> = 1024 was generated with a declared pseudo-random seed (seed = 42). Without second-order cross terms (calc</w:t>
      </w:r>
      <w:r>
        <w:rPr>
          <w:rFonts w:ascii="Arial" w:hAnsi="Arial"/>
          <w:b w:val="0"/>
          <w:i w:val="0"/>
          <w:sz w:val="20"/>
          <w:vertAlign w:val="subscript"/>
        </w:rPr>
        <w:t>second,order</w:t>
      </w:r>
      <w:r>
        <w:rPr>
          <w:rFonts w:ascii="Arial" w:hAnsi="Arial"/>
          <w:b w:val="0"/>
          <w:i w:val="0"/>
          <w:sz w:val="20"/>
        </w:rPr>
        <w:t xml:space="preserve"> = False), the radial design generates N</w:t>
      </w:r>
      <w:r>
        <w:rPr>
          <w:rFonts w:ascii="Arial" w:hAnsi="Arial"/>
          <w:b w:val="0"/>
          <w:i w:val="0"/>
          <w:sz w:val="20"/>
          <w:vertAlign w:val="subscript"/>
        </w:rPr>
        <w:t>eval</w:t>
      </w:r>
      <w:r>
        <w:rPr>
          <w:rFonts w:ascii="Arial" w:hAnsi="Arial"/>
          <w:b w:val="0"/>
          <w:i w:val="0"/>
          <w:sz w:val="20"/>
        </w:rPr>
        <w:t xml:space="preserve"> = N</w:t>
      </w:r>
      <w:r>
        <w:rPr>
          <w:rFonts w:ascii="Arial" w:hAnsi="Arial"/>
          <w:b w:val="0"/>
          <w:i w:val="0"/>
          <w:sz w:val="20"/>
          <w:vertAlign w:val="subscript"/>
        </w:rPr>
        <w:t>base</w:t>
      </w:r>
      <w:r>
        <w:rPr>
          <w:rFonts w:ascii="Arial" w:hAnsi="Arial"/>
          <w:b w:val="0"/>
          <w:i w:val="0"/>
          <w:sz w:val="20"/>
        </w:rPr>
        <w:t xml:space="preserve"> × (D + 2) = 10240 total physical model evaluations, evaluated directly through the FH-VO cloud-point solver for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(a monotone bracketing scan with Brent refinement inside the T</w:t>
      </w:r>
      <w:r>
        <w:rPr>
          <w:rFonts w:ascii="Arial" w:hAnsi="Arial"/>
          <w:b w:val="0"/>
          <w:i w:val="0"/>
          <w:sz w:val="20"/>
          <w:vertAlign w:val="subscript"/>
        </w:rPr>
        <w:t>c</w:t>
      </w:r>
      <w:r>
        <w:rPr>
          <w:rFonts w:ascii="Arial" w:hAnsi="Arial"/>
          <w:b w:val="0"/>
          <w:i w:val="0"/>
          <w:sz w:val="20"/>
        </w:rPr>
        <w:t>-to-65 °C window, and a smooth linear extrapolation of the coexistence residual g(T) when the root lies outside it, so the sensitivity response contains no clamp-induced discontinuity), the mass-conserving kinetic master equations for M</w:t>
      </w:r>
      <w:r>
        <w:rPr>
          <w:rFonts w:ascii="Arial" w:hAnsi="Arial"/>
          <w:b w:val="0"/>
          <w:i w:val="0"/>
          <w:sz w:val="20"/>
          <w:vertAlign w:val="subscript"/>
        </w:rPr>
        <w:t>final</w:t>
      </w:r>
      <w:r>
        <w:rPr>
          <w:rFonts w:ascii="Arial" w:hAnsi="Arial"/>
          <w:b w:val="0"/>
          <w:i w:val="0"/>
          <w:sz w:val="20"/>
        </w:rPr>
        <w:t>, and the physiological (37 °C) wetting angle θ</w:t>
      </w:r>
      <w:r>
        <w:rPr>
          <w:rFonts w:ascii="Arial" w:hAnsi="Arial"/>
          <w:b w:val="0"/>
          <w:i w:val="0"/>
          <w:sz w:val="20"/>
          <w:vertAlign w:val="subscript"/>
        </w:rPr>
        <w:t>c</w:t>
      </w:r>
      <w:r>
        <w:rPr>
          <w:rFonts w:ascii="Arial" w:hAnsi="Arial"/>
          <w:b w:val="0"/>
          <w:i w:val="0"/>
          <w:sz w:val="20"/>
        </w:rPr>
        <w:t xml:space="preserve"> evaluated directly from the bulk binodal and the Langmuir surface grand potential (Section 3.4) for the same sample. First-order indices S</w:t>
      </w:r>
      <w:r>
        <w:rPr>
          <w:rFonts w:ascii="Arial" w:hAnsi="Arial"/>
          <w:b w:val="0"/>
          <w:i w:val="0"/>
          <w:sz w:val="20"/>
          <w:vertAlign w:val="subscript"/>
        </w:rPr>
        <w:t>i</w:t>
      </w:r>
      <w:r>
        <w:rPr>
          <w:rFonts w:ascii="Arial" w:hAnsi="Arial"/>
          <w:b w:val="0"/>
          <w:i w:val="0"/>
          <w:sz w:val="20"/>
        </w:rPr>
        <w:t xml:space="preserve"> and total-effect indices S</w:t>
      </w:r>
      <w:r>
        <w:rPr>
          <w:rFonts w:ascii="Arial" w:hAnsi="Arial"/>
          <w:b w:val="0"/>
          <w:i w:val="0"/>
          <w:sz w:val="20"/>
          <w:vertAlign w:val="subscript"/>
        </w:rPr>
        <w:t>Ti</w:t>
      </w:r>
      <w:r>
        <w:rPr>
          <w:rFonts w:ascii="Arial" w:hAnsi="Arial"/>
          <w:b w:val="0"/>
          <w:i w:val="0"/>
          <w:sz w:val="20"/>
        </w:rPr>
        <w:t xml:space="preserve"> were computed with the standard Saltelli-Jansen estimators [20-22]: S</w:t>
      </w:r>
      <w:r>
        <w:rPr>
          <w:rFonts w:ascii="Arial" w:hAnsi="Arial"/>
          <w:b w:val="0"/>
          <w:i w:val="0"/>
          <w:sz w:val="20"/>
          <w:vertAlign w:val="subscript"/>
        </w:rPr>
        <w:t>i</w:t>
      </w:r>
      <w:r>
        <w:rPr>
          <w:rFonts w:ascii="Arial" w:hAnsi="Arial"/>
          <w:b w:val="0"/>
          <w:i w:val="0"/>
          <w:sz w:val="20"/>
        </w:rPr>
        <w:t xml:space="preserve"> = ⟨B(AB</w:t>
      </w:r>
      <w:r>
        <w:rPr>
          <w:rFonts w:ascii="Arial" w:hAnsi="Arial"/>
          <w:b w:val="0"/>
          <w:i w:val="0"/>
          <w:sz w:val="20"/>
          <w:vertAlign w:val="subscript"/>
        </w:rPr>
        <w:t>i</w:t>
      </w:r>
      <w:r>
        <w:rPr>
          <w:rFonts w:ascii="Arial" w:hAnsi="Arial"/>
          <w:b w:val="0"/>
          <w:i w:val="0"/>
          <w:sz w:val="20"/>
        </w:rPr>
        <w:t xml:space="preserve"> - A)⟩ / V(Y) (Saltelli et al., 2010) and S</w:t>
      </w:r>
      <w:r>
        <w:rPr>
          <w:rFonts w:ascii="Arial" w:hAnsi="Arial"/>
          <w:b w:val="0"/>
          <w:i w:val="0"/>
          <w:sz w:val="20"/>
          <w:vertAlign w:val="subscript"/>
        </w:rPr>
        <w:t>Ti</w:t>
      </w:r>
      <w:r>
        <w:rPr>
          <w:rFonts w:ascii="Arial" w:hAnsi="Arial"/>
          <w:b w:val="0"/>
          <w:i w:val="0"/>
          <w:sz w:val="20"/>
        </w:rPr>
        <w:t xml:space="preserve"> = (1/2) ⟨(A - AB</w:t>
      </w:r>
      <w:r>
        <w:rPr>
          <w:rFonts w:ascii="Arial" w:hAnsi="Arial"/>
          <w:b w:val="0"/>
          <w:i w:val="0"/>
          <w:sz w:val="20"/>
          <w:vertAlign w:val="subscript"/>
        </w:rPr>
        <w:t>i</w:t>
      </w:r>
      <w:r>
        <w:rPr>
          <w:rFonts w:ascii="Arial" w:hAnsi="Arial"/>
          <w:b w:val="0"/>
          <w:i w:val="0"/>
          <w:sz w:val="20"/>
        </w:rPr>
        <w:t>)²⟩ / V(Y) (Jansen, 1999).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i w:val="0"/>
                <w:sz w:val="17"/>
              </w:rPr>
              <w:t>Parameter</w:t>
            </w:r>
          </w:p>
        </w:tc>
        <w:tc>
          <w:tcPr>
            <w:tcW w:type="dxa" w:w="1872"/>
            <w:shd w:fill="E2E8F0"/>
            <w:tcMar>
              <w:top w:w="80" w:type="dxa"/>
              <w:bottom w:w="80" w:type="dxa"/>
              <w:left w:w="100" w:type="dxa"/>
              <w:right w:w="100" w:type="dxa"/>
            </w:tcMar>
          </w:tcPr>
          <w:p>
            <w:pPr>
              <w:spacing w:after="40" w:before="40"/>
            </w:pPr>
            <w:r>
              <w:rPr>
                <w:rFonts w:ascii="Arial" w:hAnsi="Arial"/>
                <w:b/>
                <w:i w:val="0"/>
                <w:sz w:val="17"/>
              </w:rPr>
              <w:t>Symbol</w:t>
            </w:r>
          </w:p>
        </w:tc>
        <w:tc>
          <w:tcPr>
            <w:tcW w:type="dxa" w:w="1872"/>
            <w:shd w:fill="E2E8F0"/>
            <w:tcMar>
              <w:top w:w="80" w:type="dxa"/>
              <w:bottom w:w="80" w:type="dxa"/>
              <w:left w:w="100" w:type="dxa"/>
              <w:right w:w="100" w:type="dxa"/>
            </w:tcMar>
          </w:tcPr>
          <w:p>
            <w:pPr>
              <w:spacing w:after="40" w:before="40"/>
            </w:pPr>
            <w:r>
              <w:rPr>
                <w:rFonts w:ascii="Arial" w:hAnsi="Arial"/>
                <w:b/>
                <w:i w:val="0"/>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i w:val="0"/>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i w:val="0"/>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N</w:t>
            </w:r>
            <w:r>
              <w:rPr>
                <w:rFonts w:ascii="Arial" w:hAnsi="Arial"/>
                <w:b w:val="0"/>
                <w:i w:val="0"/>
                <w:sz w:val="17"/>
                <w:vertAlign w:val="subscript"/>
              </w:rPr>
              <w:t>eff</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Uniform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[6.0, 18.0]</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b w:val="0"/>
                <w:i w:val="0"/>
                <w:sz w:val="17"/>
              </w:rPr>
              <w:t>Thermal LCST Slope</w:t>
            </w:r>
          </w:p>
        </w:tc>
        <w:tc>
          <w:tcPr>
            <w:tcW w:type="dxa" w:w="1872"/>
            <w:tcMar>
              <w:top w:w="80" w:type="dxa"/>
              <w:bottom w:w="80" w:type="dxa"/>
              <w:left w:w="100" w:type="dxa"/>
              <w:right w:w="100" w:type="dxa"/>
            </w:tcMar>
          </w:tcPr>
          <w:p>
            <w:pPr>
              <w:spacing w:after="40" w:before="40"/>
            </w:pPr>
            <w:r>
              <w:rPr>
                <w:rFonts w:ascii="Arial" w:hAnsi="Arial"/>
                <w:b w:val="0"/>
                <w:i w:val="0"/>
                <w:sz w:val="17"/>
              </w:rPr>
              <w:t>β</w:t>
            </w:r>
          </w:p>
        </w:tc>
        <w:tc>
          <w:tcPr>
            <w:tcW w:type="dxa" w:w="1872"/>
            <w:tcMar>
              <w:top w:w="80" w:type="dxa"/>
              <w:bottom w:w="80" w:type="dxa"/>
              <w:left w:w="100" w:type="dxa"/>
              <w:right w:w="100" w:type="dxa"/>
            </w:tcMar>
          </w:tcPr>
          <w:p>
            <w:pPr>
              <w:spacing w:after="40" w:before="40"/>
            </w:pPr>
            <w:r>
              <w:rPr>
                <w:rFonts w:ascii="Arial" w:hAnsi="Arial"/>
                <w:b w:val="0"/>
                <w:i w:val="0"/>
                <w:sz w:val="17"/>
              </w:rPr>
              <w:t>Uniform</w:t>
            </w:r>
          </w:p>
        </w:tc>
        <w:tc>
          <w:tcPr>
            <w:tcW w:type="dxa" w:w="1872"/>
            <w:tcMar>
              <w:top w:w="80" w:type="dxa"/>
              <w:bottom w:w="80" w:type="dxa"/>
              <w:left w:w="100" w:type="dxa"/>
              <w:right w:w="100" w:type="dxa"/>
            </w:tcMar>
          </w:tcPr>
          <w:p>
            <w:pPr>
              <w:spacing w:after="40" w:before="40"/>
            </w:pPr>
            <w:r>
              <w:rPr>
                <w:rFonts w:ascii="Arial" w:hAnsi="Arial"/>
                <w:b w:val="0"/>
                <w:i w:val="0"/>
                <w:sz w:val="17"/>
              </w:rPr>
              <w:t>[0.005, 0.015] K⁻¹</w:t>
            </w:r>
          </w:p>
        </w:tc>
        <w:tc>
          <w:tcPr>
            <w:tcW w:type="dxa" w:w="1872"/>
            <w:tcMar>
              <w:top w:w="80" w:type="dxa"/>
              <w:bottom w:w="80" w:type="dxa"/>
              <w:left w:w="100" w:type="dxa"/>
              <w:right w:w="100" w:type="dxa"/>
            </w:tcMar>
          </w:tcPr>
          <w:p>
            <w:pPr>
              <w:spacing w:after="40" w:before="40"/>
            </w:pPr>
            <w:r>
              <w:rPr>
                <w:rFonts w:ascii="Arial" w:hAnsi="Arial"/>
                <w:b w:val="0"/>
                <w:i w:val="0"/>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T</w:t>
            </w:r>
            <w:r>
              <w:rPr>
                <w:rFonts w:ascii="Arial" w:hAnsi="Arial"/>
                <w:b w:val="0"/>
                <w:i w:val="0"/>
                <w:sz w:val="17"/>
                <w:vertAlign w:val="subscript"/>
              </w:rPr>
              <w:t>c</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Uniform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[275.15, 287.15] K</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b w:val="0"/>
                <w:i w:val="0"/>
                <w:sz w:val="17"/>
              </w:rPr>
              <w:t>Adsorption Free Energy</w:t>
            </w:r>
          </w:p>
        </w:tc>
        <w:tc>
          <w:tcPr>
            <w:tcW w:type="dxa" w:w="1872"/>
            <w:tcMar>
              <w:top w:w="80" w:type="dxa"/>
              <w:bottom w:w="80" w:type="dxa"/>
              <w:left w:w="100" w:type="dxa"/>
              <w:right w:w="100" w:type="dxa"/>
            </w:tcMar>
          </w:tcPr>
          <w:p>
            <w:pPr>
              <w:spacing w:after="40" w:before="40"/>
            </w:pPr>
            <w:r>
              <w:rPr>
                <w:rFonts w:ascii="Arial" w:hAnsi="Arial"/>
                <w:b w:val="0"/>
                <w:i w:val="0"/>
                <w:sz w:val="17"/>
              </w:rPr>
              <w:t>ΔG</w:t>
            </w:r>
            <w:r>
              <w:rPr>
                <w:rFonts w:ascii="Arial" w:hAnsi="Arial"/>
                <w:b w:val="0"/>
                <w:i w:val="0"/>
                <w:sz w:val="17"/>
                <w:vertAlign w:val="subscript"/>
              </w:rPr>
              <w:t>ads</w:t>
            </w:r>
          </w:p>
        </w:tc>
        <w:tc>
          <w:tcPr>
            <w:tcW w:type="dxa" w:w="1872"/>
            <w:tcMar>
              <w:top w:w="80" w:type="dxa"/>
              <w:bottom w:w="80" w:type="dxa"/>
              <w:left w:w="100" w:type="dxa"/>
              <w:right w:w="100" w:type="dxa"/>
            </w:tcMar>
          </w:tcPr>
          <w:p>
            <w:pPr>
              <w:spacing w:after="40" w:before="40"/>
            </w:pPr>
            <w:r>
              <w:rPr>
                <w:rFonts w:ascii="Arial" w:hAnsi="Arial"/>
                <w:b w:val="0"/>
                <w:i w:val="0"/>
                <w:sz w:val="17"/>
              </w:rPr>
              <w:t>Uniform</w:t>
            </w:r>
          </w:p>
        </w:tc>
        <w:tc>
          <w:tcPr>
            <w:tcW w:type="dxa" w:w="1872"/>
            <w:tcMar>
              <w:top w:w="80" w:type="dxa"/>
              <w:bottom w:w="80" w:type="dxa"/>
              <w:left w:w="100" w:type="dxa"/>
              <w:right w:w="100" w:type="dxa"/>
            </w:tcMar>
          </w:tcPr>
          <w:p>
            <w:pPr>
              <w:spacing w:after="40" w:before="40"/>
            </w:pPr>
            <w:r>
              <w:rPr>
                <w:rFonts w:ascii="Arial" w:hAnsi="Arial"/>
                <w:b w:val="0"/>
                <w:i w:val="0"/>
                <w:sz w:val="17"/>
              </w:rPr>
              <w:t>[-10.0, -3.0] kcal/mol</w:t>
            </w:r>
          </w:p>
        </w:tc>
        <w:tc>
          <w:tcPr>
            <w:tcW w:type="dxa" w:w="1872"/>
            <w:tcMar>
              <w:top w:w="80" w:type="dxa"/>
              <w:bottom w:w="80" w:type="dxa"/>
              <w:left w:w="100" w:type="dxa"/>
              <w:right w:w="100" w:type="dxa"/>
            </w:tcMar>
          </w:tcPr>
          <w:p>
            <w:pPr>
              <w:spacing w:after="40" w:before="40"/>
            </w:pPr>
            <w:r>
              <w:rPr>
                <w:rFonts w:ascii="Arial" w:hAnsi="Arial"/>
                <w:b w:val="0"/>
                <w:i w:val="0"/>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a</w:t>
            </w:r>
            <w:r>
              <w:rPr>
                <w:rFonts w:ascii="Arial" w:hAnsi="Arial"/>
                <w:b w:val="0"/>
                <w:i w:val="0"/>
                <w:sz w:val="17"/>
                <w:vertAlign w:val="subscript"/>
              </w:rPr>
              <w:t>s</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Uniform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Corresponds to C</w:t>
            </w:r>
            <w:r>
              <w:rPr>
                <w:rFonts w:ascii="Arial" w:hAnsi="Arial"/>
                <w:b w:val="0"/>
                <w:i w:val="0"/>
                <w:sz w:val="17"/>
                <w:vertAlign w:val="subscript"/>
              </w:rPr>
              <w:t>nano</w:t>
            </w:r>
            <w:r>
              <w:rPr>
                <w:rFonts w:ascii="Arial" w:hAnsi="Arial"/>
                <w:b w:val="0"/>
                <w:i w:val="0"/>
                <w:sz w:val="17"/>
              </w:rPr>
              <w:t xml:space="preserve"> in [5, 100] µg/mL for SSA ~ 1000 m²/g</w:t>
            </w:r>
          </w:p>
        </w:tc>
      </w:tr>
      <w:tr>
        <w:tc>
          <w:tcPr>
            <w:tcW w:type="dxa" w:w="1872"/>
            <w:tcMar>
              <w:top w:w="80" w:type="dxa"/>
              <w:bottom w:w="80" w:type="dxa"/>
              <w:left w:w="100" w:type="dxa"/>
              <w:right w:w="100" w:type="dxa"/>
            </w:tcMar>
          </w:tcPr>
          <w:p>
            <w:pPr>
              <w:spacing w:after="40" w:before="40"/>
            </w:pPr>
            <w:r>
              <w:rPr>
                <w:rFonts w:ascii="Arial" w:hAnsi="Arial"/>
                <w:b w:val="0"/>
                <w:i w:val="0"/>
                <w:sz w:val="17"/>
              </w:rPr>
              <w:t>Ionic Strength</w:t>
            </w:r>
          </w:p>
        </w:tc>
        <w:tc>
          <w:tcPr>
            <w:tcW w:type="dxa" w:w="1872"/>
            <w:tcMar>
              <w:top w:w="80" w:type="dxa"/>
              <w:bottom w:w="80" w:type="dxa"/>
              <w:left w:w="100" w:type="dxa"/>
              <w:right w:w="100" w:type="dxa"/>
            </w:tcMar>
          </w:tcPr>
          <w:p>
            <w:pPr>
              <w:spacing w:after="40" w:before="40"/>
            </w:pPr>
            <w:r>
              <w:rPr>
                <w:rFonts w:ascii="Arial" w:hAnsi="Arial"/>
                <w:b w:val="0"/>
                <w:i w:val="0"/>
                <w:sz w:val="17"/>
              </w:rPr>
              <w:t>I</w:t>
            </w:r>
          </w:p>
        </w:tc>
        <w:tc>
          <w:tcPr>
            <w:tcW w:type="dxa" w:w="1872"/>
            <w:tcMar>
              <w:top w:w="80" w:type="dxa"/>
              <w:bottom w:w="80" w:type="dxa"/>
              <w:left w:w="100" w:type="dxa"/>
              <w:right w:w="100" w:type="dxa"/>
            </w:tcMar>
          </w:tcPr>
          <w:p>
            <w:pPr>
              <w:spacing w:after="40" w:before="40"/>
            </w:pPr>
            <w:r>
              <w:rPr>
                <w:rFonts w:ascii="Arial" w:hAnsi="Arial"/>
                <w:b w:val="0"/>
                <w:i w:val="0"/>
                <w:sz w:val="17"/>
              </w:rPr>
              <w:t>Uniform</w:t>
            </w:r>
          </w:p>
        </w:tc>
        <w:tc>
          <w:tcPr>
            <w:tcW w:type="dxa" w:w="1872"/>
            <w:tcMar>
              <w:top w:w="80" w:type="dxa"/>
              <w:bottom w:w="80" w:type="dxa"/>
              <w:left w:w="100" w:type="dxa"/>
              <w:right w:w="100" w:type="dxa"/>
            </w:tcMar>
          </w:tcPr>
          <w:p>
            <w:pPr>
              <w:spacing w:after="40" w:before="40"/>
            </w:pPr>
            <w:r>
              <w:rPr>
                <w:rFonts w:ascii="Arial" w:hAnsi="Arial"/>
                <w:b w:val="0"/>
                <w:i w:val="0"/>
                <w:sz w:val="17"/>
              </w:rPr>
              <w:t>[0.05, 0.35] M</w:t>
            </w:r>
          </w:p>
        </w:tc>
        <w:tc>
          <w:tcPr>
            <w:tcW w:type="dxa" w:w="1872"/>
            <w:tcMar>
              <w:top w:w="80" w:type="dxa"/>
              <w:bottom w:w="80" w:type="dxa"/>
              <w:left w:w="100" w:type="dxa"/>
              <w:right w:w="100" w:type="dxa"/>
            </w:tcMar>
          </w:tcPr>
          <w:p>
            <w:pPr>
              <w:spacing w:after="40" w:before="40"/>
            </w:pPr>
            <w:r>
              <w:rPr>
                <w:rFonts w:ascii="Arial" w:hAnsi="Arial"/>
                <w:b w:val="0"/>
                <w:i w:val="0"/>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b w:val="0"/>
                <w:i w:val="0"/>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η</w:t>
            </w:r>
            <w:r>
              <w:rPr>
                <w:rFonts w:ascii="Arial" w:hAnsi="Arial"/>
                <w:b w:val="0"/>
                <w:i w:val="0"/>
                <w:sz w:val="17"/>
                <w:vertAlign w:val="subscript"/>
              </w:rPr>
              <w:t>eff</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Uniform</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b w:val="0"/>
                <w:i w:val="0"/>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b w:val="0"/>
                <w:i w:val="0"/>
                <w:sz w:val="17"/>
              </w:rPr>
              <w:t>Extraction Rate Constant</w:t>
            </w:r>
          </w:p>
        </w:tc>
        <w:tc>
          <w:tcPr>
            <w:tcW w:type="dxa" w:w="1872"/>
            <w:tcMar>
              <w:top w:w="80" w:type="dxa"/>
              <w:bottom w:w="80" w:type="dxa"/>
              <w:left w:w="100" w:type="dxa"/>
              <w:right w:w="100" w:type="dxa"/>
            </w:tcMar>
          </w:tcPr>
          <w:p>
            <w:pPr>
              <w:spacing w:after="40" w:before="40"/>
            </w:pPr>
            <w:r>
              <w:rPr>
                <w:rFonts w:ascii="Arial" w:hAnsi="Arial"/>
                <w:b w:val="0"/>
                <w:i w:val="0"/>
                <w:sz w:val="17"/>
              </w:rPr>
              <w:t>k</w:t>
            </w:r>
            <w:r>
              <w:rPr>
                <w:rFonts w:ascii="Arial" w:hAnsi="Arial"/>
                <w:b w:val="0"/>
                <w:i w:val="0"/>
                <w:sz w:val="17"/>
                <w:vertAlign w:val="subscript"/>
              </w:rPr>
              <w:t>ext</w:t>
            </w:r>
          </w:p>
        </w:tc>
        <w:tc>
          <w:tcPr>
            <w:tcW w:type="dxa" w:w="1872"/>
            <w:tcMar>
              <w:top w:w="80" w:type="dxa"/>
              <w:bottom w:w="80" w:type="dxa"/>
              <w:left w:w="100" w:type="dxa"/>
              <w:right w:w="100" w:type="dxa"/>
            </w:tcMar>
          </w:tcPr>
          <w:p>
            <w:pPr>
              <w:spacing w:after="40" w:before="40"/>
            </w:pPr>
            <w:r>
              <w:rPr>
                <w:rFonts w:ascii="Arial" w:hAnsi="Arial"/>
                <w:b w:val="0"/>
                <w:i w:val="0"/>
                <w:sz w:val="17"/>
              </w:rPr>
              <w:t>Uniform</w:t>
            </w:r>
          </w:p>
        </w:tc>
        <w:tc>
          <w:tcPr>
            <w:tcW w:type="dxa" w:w="1872"/>
            <w:tcMar>
              <w:top w:w="80" w:type="dxa"/>
              <w:bottom w:w="80" w:type="dxa"/>
              <w:left w:w="100" w:type="dxa"/>
              <w:right w:w="100" w:type="dxa"/>
            </w:tcMar>
          </w:tcPr>
          <w:p>
            <w:pPr>
              <w:spacing w:after="40" w:before="40"/>
            </w:pPr>
            <w:r>
              <w:rPr>
                <w:rFonts w:ascii="Arial" w:hAnsi="Arial"/>
                <w:b w:val="0"/>
                <w:i w:val="0"/>
                <w:sz w:val="17"/>
              </w:rPr>
              <w:t>[0.20, 2.50] h⁻¹</w:t>
            </w:r>
          </w:p>
        </w:tc>
        <w:tc>
          <w:tcPr>
            <w:tcW w:type="dxa" w:w="1872"/>
            <w:tcMar>
              <w:top w:w="80" w:type="dxa"/>
              <w:bottom w:w="80" w:type="dxa"/>
              <w:left w:w="100" w:type="dxa"/>
              <w:right w:w="100" w:type="dxa"/>
            </w:tcMar>
          </w:tcPr>
          <w:p>
            <w:pPr>
              <w:spacing w:after="40" w:before="40"/>
            </w:pPr>
            <w:r>
              <w:rPr>
                <w:rFonts w:ascii="Arial" w:hAnsi="Arial"/>
                <w:b w:val="0"/>
                <w:i w:val="0"/>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rPr>
          <w:rFonts w:ascii="Arial" w:hAnsi="Arial"/>
          <w:b w:val="0"/>
          <w:i w:val="0"/>
          <w:sz w:val="20"/>
        </w:rP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w:t>
      </w:r>
      <w:r>
        <w:rPr>
          <w:rFonts w:ascii="Arial" w:hAnsi="Arial"/>
          <w:b w:val="0"/>
          <w:i w:val="0"/>
          <w:sz w:val="20"/>
          <w:vertAlign w:val="subscript"/>
        </w:rPr>
        <w:t>s</w:t>
      </w:r>
      <w:r>
        <w:rPr>
          <w:rFonts w:ascii="Arial" w:hAnsi="Arial"/>
          <w:b w:val="0"/>
          <w:i w:val="0"/>
          <w:sz w:val="20"/>
        </w:rPr>
        <w:t xml:space="preserve"> = 0). This mass-balance mechanism offers a general soft-matter explanation for how high-surface-area nanosheets can alter biomolecular condensation thresholds.</w:t>
      </w:r>
    </w:p>
    <w:p>
      <w:pPr>
        <w:spacing w:after="100"/>
      </w:pPr>
      <w:r>
        <w:rPr>
          <w:rFonts w:ascii="Arial" w:hAnsi="Arial"/>
          <w:b w:val="0"/>
          <w:i w:val="0"/>
          <w:sz w:val="20"/>
        </w:rPr>
        <w:t>By mapping the interfacial parameter landscape, we demonstrated that the physical outcome is governed continuously by the interfacial area density a</w:t>
      </w:r>
      <w:r>
        <w:rPr>
          <w:rFonts w:ascii="Arial" w:hAnsi="Arial"/>
          <w:b w:val="0"/>
          <w:i w:val="0"/>
          <w:sz w:val="20"/>
          <w:vertAlign w:val="subscript"/>
        </w:rPr>
        <w:t>s</w:t>
      </w:r>
      <w:r>
        <w:rPr>
          <w:rFonts w:ascii="Arial" w:hAnsi="Arial"/>
          <w:b w:val="0"/>
          <w:i w:val="0"/>
          <w:sz w:val="20"/>
        </w:rPr>
        <w:t xml:space="preserve"> and the standard adsorption free energy ΔG</w:t>
      </w:r>
      <w:r>
        <w:rPr>
          <w:rFonts w:ascii="Arial" w:hAnsi="Arial"/>
          <w:b w:val="0"/>
          <w:i w:val="0"/>
          <w:sz w:val="20"/>
          <w:vertAlign w:val="subscript"/>
        </w:rPr>
        <w:t>ads</w:t>
      </w:r>
      <w:r>
        <w:rPr>
          <w:rFonts w:ascii="Arial" w:hAnsi="Arial"/>
          <w:b w:val="0"/>
          <w:i w:val="0"/>
          <w:sz w:val="20"/>
        </w:rPr>
        <w:t>. The literature-informed borophene-like and MXene-like scenarios serve as illustrative physical archetypes: high-affinity biointerfaces (ΔG</w:t>
      </w:r>
      <w:r>
        <w:rPr>
          <w:rFonts w:ascii="Arial" w:hAnsi="Arial"/>
          <w:b w:val="0"/>
          <w:i w:val="0"/>
          <w:sz w:val="20"/>
          <w:vertAlign w:val="subscript"/>
        </w:rPr>
        <w:t>ads</w:t>
      </w:r>
      <w:r>
        <w:rPr>
          <w:rFonts w:ascii="Arial" w:hAnsi="Arial"/>
          <w:b w:val="0"/>
          <w:i w:val="0"/>
          <w:sz w:val="20"/>
        </w:rPr>
        <w:t xml:space="preserve"> ≈ -7.8 kcal/mol) can fully dissolve condensates across physiological and room temperatures and deplete ~60% of free monomers at 37 °C, whereas moderate-affinity interfaces (ΔG</w:t>
      </w:r>
      <w:r>
        <w:rPr>
          <w:rFonts w:ascii="Arial" w:hAnsi="Arial"/>
          <w:b w:val="0"/>
          <w:i w:val="0"/>
          <w:sz w:val="20"/>
          <w:vertAlign w:val="subscript"/>
        </w:rPr>
        <w:t>ads</w:t>
      </w:r>
      <w:r>
        <w:rPr>
          <w:rFonts w:ascii="Arial" w:hAnsi="Arial"/>
          <w:b w:val="0"/>
          <w:i w:val="0"/>
          <w:sz w:val="20"/>
        </w:rPr>
        <w:t xml:space="preserve">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rPr>
          <w:rFonts w:ascii="Arial" w:hAnsi="Arial"/>
          <w:b w:val="0"/>
          <w:i w:val="0"/>
          <w:sz w:val="20"/>
        </w:rPr>
        <w:t>Importantly, our framework establishes quantitative, prospectively falsifiable predictions for future experimental studies: (1) In spectroturbidimetric cloud-point assays of Tau K18, the upward shift in T</w:t>
      </w:r>
      <w:r>
        <w:rPr>
          <w:rFonts w:ascii="Arial" w:hAnsi="Arial"/>
          <w:b w:val="0"/>
          <w:i w:val="0"/>
          <w:sz w:val="20"/>
          <w:vertAlign w:val="subscript"/>
        </w:rPr>
        <w:t>cloud</w:t>
      </w:r>
      <w:r>
        <w:rPr>
          <w:rFonts w:ascii="Arial" w:hAnsi="Arial"/>
          <w:b w:val="0"/>
          <w:i w:val="0"/>
          <w:sz w:val="20"/>
          <w:vertAlign w:val="superscript"/>
        </w:rPr>
        <w:t>app</w:t>
      </w:r>
      <w:r>
        <w:rPr>
          <w:rFonts w:ascii="Arial" w:hAnsi="Arial"/>
          <w:b w:val="0"/>
          <w:i w:val="0"/>
          <w:sz w:val="20"/>
        </w:rPr>
        <w:t xml:space="preserve"> should scale linearly with total accessible nanomaterial surface area (a</w:t>
      </w:r>
      <w:r>
        <w:rPr>
          <w:rFonts w:ascii="Arial" w:hAnsi="Arial"/>
          <w:b w:val="0"/>
          <w:i w:val="0"/>
          <w:sz w:val="20"/>
          <w:vertAlign w:val="subscript"/>
        </w:rPr>
        <w:t>s</w:t>
      </w:r>
      <w:r>
        <w:rPr>
          <w:rFonts w:ascii="Arial" w:hAnsi="Arial"/>
          <w:b w:val="0"/>
          <w:i w:val="0"/>
          <w:sz w:val="20"/>
        </w:rPr>
        <w:t xml:space="preserve"> = SSA · C</w:t>
      </w:r>
      <w:r>
        <w:rPr>
          <w:rFonts w:ascii="Arial" w:hAnsi="Arial"/>
          <w:b w:val="0"/>
          <w:i w:val="0"/>
          <w:sz w:val="20"/>
          <w:vertAlign w:val="subscript"/>
        </w:rPr>
        <w:t>nano</w:t>
      </w:r>
      <w:r>
        <w:rPr>
          <w:rFonts w:ascii="Arial" w:hAnsi="Arial"/>
          <w:b w:val="0"/>
          <w:i w:val="0"/>
          <w:sz w:val="20"/>
        </w:rPr>
        <w:t>), meaning that heavily restacked materials with lower BET areas will require proportionally higher mass loadings to achieve equivalent phase dissolution. (2) Sessile condensate droplet contact angle goniometry on passivated 2D substrates should reveal partial wetting regimes (θ</w:t>
      </w:r>
      <w:r>
        <w:rPr>
          <w:rFonts w:ascii="Arial" w:hAnsi="Arial"/>
          <w:b w:val="0"/>
          <w:i w:val="0"/>
          <w:sz w:val="20"/>
          <w:vertAlign w:val="subscript"/>
        </w:rPr>
        <w:t>c</w:t>
      </w:r>
      <w:r>
        <w:rPr>
          <w:rFonts w:ascii="Arial" w:hAnsi="Arial"/>
          <w:b w:val="0"/>
          <w:i w:val="0"/>
          <w:sz w:val="20"/>
        </w:rPr>
        <w:t xml:space="preserve"> ≈ 50°–80°) governed by the balance between capillary tension (γ</w:t>
      </w:r>
      <w:r>
        <w:rPr>
          <w:rFonts w:ascii="Arial" w:hAnsi="Arial"/>
          <w:b w:val="0"/>
          <w:i w:val="0"/>
          <w:sz w:val="20"/>
          <w:vertAlign w:val="subscript"/>
        </w:rPr>
        <w:t>LL</w:t>
      </w:r>
      <w:r>
        <w:rPr>
          <w:rFonts w:ascii="Arial" w:hAnsi="Arial"/>
          <w:b w:val="0"/>
          <w:i w:val="0"/>
          <w:sz w:val="20"/>
        </w:rPr>
        <w:t xml:space="preserve">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rPr>
          <w:rFonts w:ascii="Arial" w:hAnsi="Arial"/>
          <w:b w:val="0"/>
          <w:i w:val="0"/>
          <w:sz w:val="20"/>
        </w:rP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rPr>
          <w:rFonts w:ascii="Arial" w:hAnsi="Arial"/>
          <w:b w:val="0"/>
          <w:i w:val="0"/>
          <w:sz w:val="20"/>
        </w:rPr>
        <w:t>There are no conflicts to declare.</w:t>
      </w:r>
    </w:p>
    <w:p>
      <w:pPr>
        <w:spacing w:before="280" w:after="80"/>
      </w:pPr>
      <w:r>
        <w:rPr>
          <w:rFonts w:ascii="Arial" w:hAnsi="Arial"/>
          <w:b/>
          <w:sz w:val="25"/>
        </w:rPr>
        <w:t>Data and Code Availability</w:t>
      </w:r>
    </w:p>
    <w:p>
      <w:pPr>
        <w:spacing w:after="100"/>
      </w:pPr>
      <w:r>
        <w:rPr>
          <w:rFonts w:ascii="Arial" w:hAnsi="Arial"/>
          <w:b w:val="0"/>
          <w:i w:val="0"/>
          <w:sz w:val="20"/>
        </w:rPr>
        <w:t>All simulation scripts, thermodynamic root solvers, kinetic master equation integrators, digitized experimental literature data, and unit test suites are openly available in the project GitHub repository (</w:t>
      </w:r>
      <w:r>
        <w:rPr>
          <w:rFonts w:ascii="Arial" w:hAnsi="Arial"/>
          <w:b w:val="0"/>
          <w:i w:val="0"/>
          <w:sz w:val="20"/>
        </w:rPr>
        <w:t>https://github.com/sircalch/llps-tau-2d-nanomaterials)</w:t>
      </w:r>
      <w:r>
        <w:rPr>
          <w:rFonts w:ascii="Arial" w:hAnsi="Arial"/>
          <w:b w:val="0"/>
          <w:i w:val="0"/>
          <w:sz w:val="20"/>
        </w:rPr>
        <w:t xml:space="preserve"> under the MIT License and supported by automated continuous integration. The exact version reported here is permanently archived on Zenodo: </w:t>
      </w:r>
      <w:r>
        <w:rPr>
          <w:rFonts w:ascii="Arial" w:hAnsi="Arial"/>
          <w:b w:val="0"/>
          <w:i w:val="0"/>
          <w:sz w:val="20"/>
        </w:rPr>
        <w:t>https://doi.org/10.5281/zenodo.22268507</w:t>
      </w:r>
      <w:r>
        <w:rPr>
          <w:rFonts w:ascii="Arial" w:hAnsi="Arial"/>
          <w:b w:val="0"/>
          <w:i w:val="0"/>
          <w:sz w:val="20"/>
        </w:rPr>
        <w:t xml:space="preserve"> (release v1.0.1). Running python </w:t>
      </w:r>
      <w:r>
        <w:rPr>
          <w:rFonts w:ascii="Arial" w:hAnsi="Arial"/>
          <w:b w:val="0"/>
          <w:i w:val="0"/>
          <w:sz w:val="20"/>
        </w:rPr>
        <w:t>run_pipeline.py</w:t>
      </w:r>
      <w:r>
        <w:rPr>
          <w:rFonts w:ascii="Arial" w:hAnsi="Arial"/>
          <w:b w:val="0"/>
          <w:i w:val="0"/>
          <w:sz w:val="20"/>
        </w:rPr>
        <w:t xml:space="preserve"> regenerates the full unit-test suite, every figure, this manuscript, and the cover letter from source.</w:t>
      </w:r>
    </w:p>
    <w:p>
      <w:pPr>
        <w:spacing w:before="280" w:after="80"/>
      </w:pPr>
      <w:r>
        <w:rPr>
          <w:rFonts w:ascii="Arial" w:hAnsi="Arial"/>
          <w:b/>
          <w:sz w:val="25"/>
        </w:rPr>
        <w:t>Acknowledgements</w:t>
      </w:r>
    </w:p>
    <w:p>
      <w:pPr>
        <w:spacing w:after="100"/>
      </w:pPr>
      <w:r>
        <w:rPr>
          <w:rFonts w:ascii="Arial" w:hAnsi="Arial"/>
          <w:b w:val="0"/>
          <w:i w:val="0"/>
          <w:sz w:val="20"/>
        </w:rPr>
        <w:t>This research received no specific grant from any funding agency in the public, commercial, or not-for-profit sectors, and no institutional support. Generative AI tools (large language models) were used to assist with code development, testing, and language editing; no figure, including the graphical abstract, contains AI-generated imagery. All models, analyses, results, and citations were designed, verified, and approved by the authors, who take full responsibility for the content.</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(Ti₃C₂Tₓ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