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the apparent cloud point depending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[1-4,24]. Under physiological conditions, the microtubule-associated protein Tau undergoes LLPS driven by electrostatic and hydrophobic interactions [5-7].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[5,6,18,19,30].</w:t>
      </w:r>
    </w:p>
    <w:p>
      <w:pPr>
        <w:spacing w:after="100"/>
      </w:pPr>
      <w:r>
        <w:t>Recent experimental studies have shown that biomolecular condensates interact actively with physical boundaries, displaying rich wetting, spreading, and interfacial anchoring phenomena on lipid membranes and nanomaterials [14-17,27].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0.247,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[11,23],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The model thus produces output-specific sensitivity partitions: bulk macromolecular thermodynamics and interfacial adsorption jointly set phase coexistence, whereas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5c,d) shows a converged decomposition: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and (b) fibrillation arrest M_final (evaluated directly via kinetic ODEs). (c,d) Block sensitivity trajectories S_Ti(N) across dyadic sub-block sample sizes N ∈ {128, 256, 512, 1024};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[10,11]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0.247,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(0.247, 0.872)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the Langmuir surface grand potential, Section 3.4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[20-22].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This work received no external or third-party funding; the authors acknowledge institutional and infrastructural support from Universidad Estatal de Sonora (UES) and Universidad de Sonora (UNISON). Generative AI Disclosure: during the preparation of this computational study, generative AI assistance (OpenAI Codex / Anthropic Claude / Google Gemini) was used for code review, unit-test generation, and manuscript formatting; all mathematical models, numerical simulations, physical interpretations, and bibliographic citations were independently verified and finalized under full author responsibility. All figures, including the graphical abstract, were produced deterministically from the authors' own Python (matplotlib) code and contain no AI-generated imagery.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