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sz w:val="19"/>
        </w:rPr>
        <w:t>Biomolecular condensates formed via liquid-liquid phase separation (LLPS) of the intrinsically disordered protein Tau are implicated in both physiological compartmentalization and the nucleation of pathological amyloid aggregates. Here, we establish a physics-based, coarse-grained statistical-thermodynamic and kinetic framework combining Flory-Huggins-Voorn-Overbeek (FH-VO) polymer theory with Cahn-Hilliard interfacial gradient theory and mass-conserving master equations to investigate how two-dimensional (2D) nanomaterial interfaces (aqueous-passivated borophene nanoflakes and Ti3C2Tx MXene) modulate Tau LLPS and condensate aging. The bulk phase separation model is parameterized against published Lower Critical Solution Temperature (LCST) and turbidity onset measurements of the Tau K18 repeat domain (Ambadipudi et al., Nat. Commun. 2017), where the order parameter φ_tilde represents the effective semi-dilute lattice site occupancy (scaled via s_phi = 0.950 mM⁻¹, yielding 100 µM ↔ φ_tilde_total = 0.095, with hydrodynamic radius Rh = 3.4 ± 0.6 nm, Stelzl et al., JACS Au 2022). A foundational feature of this formulation is that 2D interface-mediated LLPS suppression emerges self-consistently from explicit Langmuir adsorption mass balance governed by standard thermodynamic activity a = c / c° (where c° = 1.0 M; φ_tilde_total = φ_tilde_free + m_tilde_max θ_ads, with surface capacity c_max,ads = a_s Γ_max 10³⁰ / N_A [µM]), without empirical alterations to the intrinsic Flory interaction parameter (∂χ/∂a_s = 0). Using literature-audited scenario parameters, the model predicts a strong material-specific differentiation: stabilized borophene (ΔG_ads = -7.8 kcal/mol, contact angle θ_c = 50.3° with surface excess Δγ_s = 1.023 µN/m) shifts the apparent cloud point from 15.3 °C to 29.4 °C at C_nano = 100 µg/mL (interfacial area density a_s = 1.0×10⁻⁴ nm⁻¹ for SSA = 1000 m²/g), dissolving LLPS across room and sub-physiological temperatures and depleting ~60% monomer at 37 °C (c_free ≈ 41.4 µM), whereas Ti3C2Tx MXene (ΔG_ads = -5.2 kcal/mol, θ_c = 79.3° with Δγ_s = 0.296 µN/m) induces only partial depletion (c_free ≈ 87.6 µM at 100 µg/mL), maintaining stable condensate droplets across the loading window. Coupled master equations with strictly dimensional fluxes confirm that interfacial monomer sequestration retards secondary nucleation without altering the underlying intrinsic aggregation pathway. An 8-parameter Sobol global sensitivity analysis using SALib (Saltelli et al. estimator, N_base = 512, N_eval = 5120) identifies thermal LCST slope β (S_T = 0.56 ± 0.18), ionic strength I (S_T = 0.51 ± 0.18), and effective chain length N_eff (S_T = 0.47 ± 0.17) as the dominant, statistically overlapping thermodynamic parameter cluster, while interfacial area density a_s (S_T = 0.91 ± 0.09) dictates fibrillation arrest. This work provides quantitative physical principles for prospective modulation of biomolecular condensates with structured 2D biointerfaces.</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 Under physiological conditions, the microtubule-associated protein Tau undergoes LLPS driven by electrostatic and hydrophobic interactions [5,6]. However, the high local protein density inside condensates (10- to 100-fold higher than in the dilute bulk phase) dramatically accelerates primary and secondary nucleation of cross-β amyloid fibrils, promoting an aberrant liquid-to-solid phase transition associated with neurodegenerative tauopathies [5,6,18,19].</w:t>
      </w:r>
    </w:p>
    <w:p>
      <w:pPr>
        <w:spacing w:after="100"/>
      </w:pPr>
      <w:r>
        <w:t>Recent experimental studies have shown that biomolecular condensates interact actively with physical boundaries, displaying rich wetting, spreading, and interfacial anchoring phenomena on lipid membranes and nanomaterials [14-16,27].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extraordinary platforms with ultra-high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has remained lacking. In this study, we formulate a statistical-thermodynamic and kinetic framework where 2D interface-driven LLPS modulation emerges from explicit adsorption equilibrium rather than phenomenological assumptions.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fully physical global sensitivity analysis.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[5], driven by the hydrophobic desolvation entropy of repeat domain hexapeptide motifs (VQIVYK in R3 and VQIINK in R2) [5]. The FH-VO model, with critical parameters solved numerically from the full free energy functional (f''(φ_c) = 0 and f'''(φ_c) = 0, yielding φ_c = 0.246, χ_c = 0.872), is parameterized with critical temperature Tc = 8.5 °C (281.65 K) and thermal slope β = 0.0090 K⁻¹. Under this parameterization, the theoretical cloud point for nominal 100 µM Tau K18 (order parameter φ_tilde_total = 0.095) evaluates to T_cloud = 15.3 °C via Brent root solving, consistent with the reported ~15 °C turbidity onset in Figure 2b of Ambadipudi et al. (Nat. Commun. 2017) (Fig. 1a, inset).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sheets.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stabilized borophene at C_nano = 100 µg/mL (a_s = 1.0×10⁻⁴ nm⁻¹ for SSA = 1000 m²/g), free monomer concentration drops by nearly 60% to c_free ≈ 41.4 µM, shifting the apparent cloud point to 29.4 °C and dissolving the condensate at temperatures below 29.4 °C. In contrast, Ti3C2Tx MXene, exhibiting weaker affinity (ΔG_ads = -5.2 kcal/mol vs -7.8 kcal/mol for borophene), produces only partial depletion (c_free ≈ 87.6 µM at 100 µg/mL), maintaining droplets stable throughout the 0–100 µg/mL loading window at 37 °C.</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_2D_Interface.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nanosheet concentration C_nano (and interfacial area density a_s) at 37 °C, showing strong depletion for borophene vs weak partial depletion for MXene.</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showing that moderate ionic strength maintains condensate stability, while elevated salt screens electrostatic interactions, reducing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stabilized borophene, the solid-liquid surface energy excess evaluates to Δγ_s = 1.023 µN/m (derived directly from the Langmuir surface grand potential with η_eff = 0.20×10⁻³ and standard activity a = c/c°), yielding cos(θ_c) = 1.023 / 1.601 = 0.639 and θ_c = 50.3° at 37 °C. For Ti3C2Tx MXene, Δγ_s = 0.296 µN/m yields cos(θ_c) = 0.296 / 1.601 = 0.185 and θ_c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stabilized borophene (red star, Δγ_s = 1.02 µN/m, θ_c = 50.3°) and Ti3C2Tx MXene (blue diamond, Δγ_s = 0.30 µN/m, θ_c = 79.3°) at 37 °C are indicated.</w:t>
      </w:r>
    </w:p>
    <w:p>
      <w:pPr>
        <w:spacing w:before="200" w:after="60"/>
      </w:pPr>
      <w:r>
        <w:rPr>
          <w:rFonts w:ascii="Arial" w:hAnsi="Arial"/>
          <w:b/>
          <w:sz w:val="21"/>
        </w:rPr>
        <w:t>2.3 Material-Specific Differentiation: Stabilized Borophene vs Ti3C2Tx MXene</w:t>
      </w:r>
    </w:p>
    <w:p>
      <w:pPr>
        <w:spacing w:after="100"/>
      </w:pPr>
      <w:r>
        <w:t>Figure 3 compares the quantitative performance of Stabilized Borophene vs Ti3C2Tx MXene across the physical loading range C_nano ∈ [0, 100] µg/mL (a_s ∈ [0, 1.0×10⁻⁴] nm⁻¹). The apparent cloud point T_cloud^app (Fig. 3a) was determined by solving the true thermodynamic binodal root φ_tilde_free(T, a_s) = φ_tilde_dilute(T) via Brent's method. For borophene, T_cloud^app shifts from 15.3 °C (control) up to 29.4 °C at 100 µg/mL, demonstrating a +14.1 °C thermal stabilization of the mixed state. For MXene, T_cloud^app increases modestly from 15.3 °C to 17.8 °C (+2.5 °C). Continuous wetting angles θ_c(T) across 15–50 °C with Monte Carlo 95% confidence intervals (Fig. 3b) remain in the partial wetting regime for both materials, while kinetic lag times τ_lag (Fig. 3c) and final fibril mass M_final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5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sz w:val="17"/>
        </w:rPr>
        <w:t>Material-specific quantitative comparison between Stabilized Borophene and Ti3C2Tx MXene. (a) True thermodynamic apparent cloud-point temperature T_cloud^app vs nanosheet loading C_nano solved via Brent's method.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C_nano = 0 µg/mL, Fig. 4a), high local monomer concentration triggers autocatalytic secondary nucleation, converting 60% of the initial monomer pool into solid fibrils within 12 hours (τ_lag = 2.73 h). In the presence of 2D nanosheets (Fig. 4b,c), interfacial monomer extraction depletes the liquid monomer fraction φ_dense(t), extending the solidification lag time to 2.97 h at 100 µg/mL (Fig. 4d) and reducing final fibril mass to 0.570. We explicitly emphasize that this kinetic module is a prospective normalized amyloid-aging model, as spontaneous fibrillation of pure Tau K18 without polyanionic cofactors (such as heparin) proceeds at slower basal rates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3_Condensate_Aging_and_Fibrillation_Arrest.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sz w:val="17"/>
        </w:rPr>
        <w:t>Condensate aging kinetics under strictly dimensional master equations. (a) Fibril mass fraction M_drop(t). (b) Liquid monomer depletion φ_dense(t). (c) Interfacial monomer sequestration m_ads(t). (d) Fibrillation lag time τ_lag vs 2D loading C_nano across the physical range [0, 100] µg/mL.</w:t>
      </w:r>
    </w:p>
    <w:p>
      <w:pPr>
        <w:spacing w:before="200" w:after="60"/>
      </w:pPr>
      <w:r>
        <w:rPr>
          <w:rFonts w:ascii="Arial" w:hAnsi="Arial"/>
          <w:b/>
          <w:sz w:val="21"/>
        </w:rPr>
        <w:t>2.5 Global Sensitivity and Convergence Analysis</w:t>
      </w:r>
    </w:p>
    <w:p>
      <w:pPr>
        <w:spacing w:after="100"/>
      </w:pPr>
      <w:r>
        <w:t>Figure 5 presents the Saltelli Sobol global sensitivity analysis over the 8 parameter distributions detailed in Table 3, evaluated directly from data/sobol_indices_N512.csv using SALib (N_base = 512, N_eval = 5120, scrambled Sobol seed = 42, 95% bootstrap confidence intervals across 1000 resamples). For the apparent cloud point T_cloud^app (Fig. 5a), evaluated by directly executing the FH-VO Brent root solver for every sample, thermal LCST slope β (S_T = 0.56 ± 0.18), ionic strength I (S_T = 0.51 ± 0.18), and effective chain length N_eff (S_T = 0.47 ± 0.17) form a dominant, overlapping thermodynamic parameter cluster, followed by critical temperature Tc (S_T = 0.28 ± 0.13), with modest contributions from adsorption free energy ΔG_ads (S_T = 0.10 ± 0.03) and interfacial area density a_s (S_T = 0.08 ± 0.02). Crucially, the structurally inactive parameters η_eff (S_1 = 0.000 ± 0.000, S_T = 0.000 ± 0.000) and k_ext (S_1 = 0.000 ± 0.000, S_T = 0.000 ± 0.000) evaluate to exact mathematical zeros, confirming the absence of estimator bias. For fibrillation mass M_final (Fig. 5b), interfacial area density a_s (first-order S_i = 0.89 ± 0.10, total-effect S_T = 0.91 ± 0.09) and extraction rate k_ext (S_T = 0.12 ± 0.03) exert primary control, while pure thermodynamic parameters do not participate directly in the isolated droplet aging equations (S_1 = 0.000, S_T = 0.000). The model thus produces output-specific sensitivity partitions: macromolecular thermodynamics dictates phase coexistence, whereas nanosheet area density and extraction kinetics govern fibrillation arrest. Note that the phenomenological gradient correlation length b is treated as an effective fixed geometric scale anchored to experimental Rh and is not part of the 8-parameter Sobol variance decomposition. The block analysis (Figs. 5c,d) showed progressive stabilization of the dominant total-effect indices and narrowing bootstrap confidence intervals with increasing N_base; therefore, the highest-resolution estimate at N_base = 512 was retained for quantitative interpretation.</w:t>
      </w:r>
    </w:p>
    <w:p>
      <w:pPr>
        <w:spacing w:before="120" w:after="60"/>
        <w:jc w:val="center"/>
      </w:pPr>
    </w:p>
    <w:p>
      <w:r>
        <w:drawing>
          <wp:inline xmlns:a="http://schemas.openxmlformats.org/drawingml/2006/main" xmlns:pic="http://schemas.openxmlformats.org/drawingml/2006/picture">
            <wp:extent cx="5669280" cy="3995412"/>
            <wp:docPr id="5" name="Picture 5"/>
            <wp:cNvGraphicFramePr>
              <a:graphicFrameLocks noChangeAspect="1"/>
            </wp:cNvGraphicFramePr>
            <a:graphic>
              <a:graphicData uri="http://schemas.openxmlformats.org/drawingml/2006/picture">
                <pic:pic>
                  <pic:nvPicPr>
                    <pic:cNvPr id="0" name="Figure_4_Sobol_Sensitivity_LLPS.png"/>
                    <pic:cNvPicPr/>
                  </pic:nvPicPr>
                  <pic:blipFill>
                    <a:blip r:embed="rId13"/>
                    <a:stretch>
                      <a:fillRect/>
                    </a:stretch>
                  </pic:blipFill>
                  <pic:spPr>
                    <a:xfrm>
                      <a:off x="0" y="0"/>
                      <a:ext cx="5669280" cy="3995412"/>
                    </a:xfrm>
                    <a:prstGeom prst="rect"/>
                  </pic:spPr>
                </pic:pic>
              </a:graphicData>
            </a:graphic>
          </wp:inline>
        </w:drawing>
      </w:r>
    </w:p>
    <w:p>
      <w:pPr>
        <w:spacing w:before="40" w:after="160"/>
      </w:pPr>
      <w:r>
        <w:rPr>
          <w:b/>
          <w:sz w:val="17"/>
        </w:rPr>
        <w:t xml:space="preserve">Figure 5. </w:t>
      </w:r>
      <w:r>
        <w:rPr>
          <w:sz w:val="17"/>
        </w:rPr>
        <w:t>Sobol global sensitivity and block convergence analysis dynamically read from data/sobol_indices_N512.csv and data/sobol_convergence_N512.csv. First-order (S_i) and total-effect (S_Ti) indices with 95% bootstrap confidence intervals for (a) apparent cloud point T_cloud^app (evaluated directly with FH-VO Brent root solver) and (b) fibrillation arrest M_final (evaluated directly via kinetic ODEs). (c,d) Block sensitivity trajectories S_Ti(N) across dyadic sub-block sample sizes N ∈ {64, 128, 256, 512} showing progressive stabilization of total-effect indices and narrowing bootstrap confidence intervals toward the final N_base = 512 estimate.</w:t>
      </w:r>
    </w:p>
    <w:p>
      <w:pPr>
        <w:spacing w:before="200" w:after="60"/>
      </w:pPr>
      <w:r>
        <w:rPr>
          <w:rFonts w:ascii="Arial" w:hAnsi="Arial"/>
          <w:b/>
          <w:sz w:val="21"/>
        </w:rPr>
        <w:t>2.6 Comparison with Recent Literature and Model Limitations</w:t>
      </w:r>
    </w:p>
    <w:p>
      <w:pPr>
        <w:spacing w:after="100"/>
      </w:pPr>
      <w:r>
        <w:t>Our model predictions agree with recent biophysical findings on condensate interfaces.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Model limitations and domain of validity are explicitly stated: (i) This work is deliberately formulated as a predictive theoretical study. Bulk phase separation is parameterized against published Tau K18 turbidity measurements [5], whereas nanomaterial-dependent adsorption, wetting, and kinetic outputs are presented as prospective, falsifiable model-scenario predictions rather than direct experimental validation. (ii) Tau K18 is an experimentally well-characterized four-repeat domain construct containing the primary amyloidogenic motifs (R1-R4); extrapolation to full-length Tau (Tau-441), which incorporates large charged projection domains and distinct regulatory phosphorylation landscapes, will require independent parameterization. (iii) An effective coarse-grained order parameter description where φ_tilde represents lattice occupancy rather than atomistic coordinates. (iv) Implicit solvent treatment without explicit conformational dynamics. (v) An idealized non-cooperative Langmuir adsorption isotherm. (vi) Representation of borophene as an idealized passivated aqueous nanoflake without explicit chemical degradation kinetics. (vii) Omission of local MXene surface-termination micro-heterogeneity. Future work combining all-atom MD with continuum phase-field modeling will provide atomistic resolution of the 2D 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with critical parameters (φ_c = 0.246, χ_c = 0.872)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(0.246, 0.872)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Parameters for aqueous-stabilized borophene nanoflakes and Ti3C2Tx MXene were calibrated from audited literature sources and geometric model estimates, as summarized in Table 2.</w:t>
      </w:r>
    </w:p>
    <w:p>
      <w:pPr>
        <w:spacing w:after="60"/>
      </w:pPr>
      <w:r>
        <w:rPr>
          <w:b/>
          <w:sz w:val="18"/>
        </w:rPr>
        <w:t>Table 2. Material-specific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Langmuir grand potential: Eq. 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Zeta Potential (pH 7.4)</w:t>
            </w:r>
          </w:p>
        </w:tc>
        <w:tc>
          <w:tcPr>
            <w:tcW w:type="dxa" w:w="1872"/>
            <w:shd w:fill="F8FAFC"/>
            <w:tcMar>
              <w:top w:w="80" w:type="dxa"/>
              <w:bottom w:w="80" w:type="dxa"/>
              <w:left w:w="100" w:type="dxa"/>
              <w:right w:w="100" w:type="dxa"/>
            </w:tcMar>
          </w:tcPr>
          <w:p>
            <w:pPr>
              <w:spacing w:after="40" w:before="40"/>
            </w:pPr>
            <w:r>
              <w:rPr>
                <w:rFonts w:ascii="Arial" w:hAnsi="Arial"/>
                <w:sz w:val="17"/>
              </w:rPr>
              <w:t>ψ_s</w:t>
            </w:r>
          </w:p>
        </w:tc>
        <w:tc>
          <w:tcPr>
            <w:tcW w:type="dxa" w:w="1872"/>
            <w:shd w:fill="F8FAFC"/>
            <w:tcMar>
              <w:top w:w="80" w:type="dxa"/>
              <w:bottom w:w="80" w:type="dxa"/>
              <w:left w:w="100" w:type="dxa"/>
              <w:right w:w="100" w:type="dxa"/>
            </w:tcMar>
          </w:tcPr>
          <w:p>
            <w:pPr>
              <w:spacing w:after="40" w:before="40"/>
            </w:pPr>
            <w:r>
              <w:rPr>
                <w:rFonts w:ascii="Arial" w:hAnsi="Arial"/>
                <w:sz w:val="17"/>
              </w:rPr>
              <w:t>-32.4 mV</w:t>
            </w:r>
          </w:p>
        </w:tc>
        <w:tc>
          <w:tcPr>
            <w:tcW w:type="dxa" w:w="1872"/>
            <w:shd w:fill="F8FAFC"/>
            <w:tcMar>
              <w:top w:w="80" w:type="dxa"/>
              <w:bottom w:w="80" w:type="dxa"/>
              <w:left w:w="100" w:type="dxa"/>
              <w:right w:w="100" w:type="dxa"/>
            </w:tcMar>
          </w:tcPr>
          <w:p>
            <w:pPr>
              <w:spacing w:after="40" w:before="40"/>
            </w:pPr>
            <w:r>
              <w:rPr>
                <w:rFonts w:ascii="Arial" w:hAnsi="Arial"/>
                <w:sz w:val="17"/>
              </w:rPr>
              <w:t>literature est.</w:t>
            </w:r>
          </w:p>
        </w:tc>
        <w:tc>
          <w:tcPr>
            <w:tcW w:type="dxa" w:w="1872"/>
            <w:shd w:fill="F8FAFC"/>
            <w:tcMar>
              <w:top w:w="80" w:type="dxa"/>
              <w:bottom w:w="80" w:type="dxa"/>
              <w:left w:w="100" w:type="dxa"/>
              <w:right w:w="100" w:type="dxa"/>
            </w:tcMar>
          </w:tcPr>
          <w:p>
            <w:pPr>
              <w:spacing w:after="40" w:before="40"/>
            </w:pPr>
            <w:r>
              <w:rPr>
                <w:rFonts w:ascii="Arial" w:hAnsi="Arial"/>
                <w:sz w:val="17"/>
              </w:rPr>
              <w:t>Borophene: Experimental [13]; MXene: value not independently confirmed at pH 7.4 — omitted from analysis</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1.25 h⁻¹</w:t>
            </w:r>
          </w:p>
        </w:tc>
        <w:tc>
          <w:tcPr>
            <w:tcW w:type="dxa" w:w="1872"/>
            <w:tcMar>
              <w:top w:w="80" w:type="dxa"/>
              <w:bottom w:w="80" w:type="dxa"/>
              <w:left w:w="100" w:type="dxa"/>
              <w:right w:w="100" w:type="dxa"/>
            </w:tcMar>
          </w:tcPr>
          <w:p>
            <w:pPr>
              <w:spacing w:after="40" w:before="40"/>
            </w:pPr>
            <w:r>
              <w:rPr>
                <w:rFonts w:ascii="Arial" w:hAnsi="Arial"/>
                <w:sz w:val="17"/>
              </w:rPr>
              <w:t>0.75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shd w:fill="F8FAFC"/>
            <w:tcMar>
              <w:top w:w="80" w:type="dxa"/>
              <w:bottom w:w="80" w:type="dxa"/>
              <w:left w:w="100" w:type="dxa"/>
              <w:right w:w="100" w:type="dxa"/>
            </w:tcMar>
          </w:tcPr>
          <w:p>
            <w:pPr>
              <w:spacing w:after="40" w:before="40"/>
            </w:pPr>
            <w:r>
              <w:rPr>
                <w:rFonts w:ascii="Arial" w:hAnsi="Arial"/>
                <w:sz w:val="17"/>
              </w:rPr>
              <w:t>Desorption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k_des</w:t>
            </w:r>
          </w:p>
        </w:tc>
        <w:tc>
          <w:tcPr>
            <w:tcW w:type="dxa" w:w="1872"/>
            <w:shd w:fill="F8FAFC"/>
            <w:tcMar>
              <w:top w:w="80" w:type="dxa"/>
              <w:bottom w:w="80" w:type="dxa"/>
              <w:left w:w="100" w:type="dxa"/>
              <w:right w:w="100" w:type="dxa"/>
            </w:tcMar>
          </w:tcPr>
          <w:p>
            <w:pPr>
              <w:spacing w:after="40" w:before="40"/>
            </w:pPr>
            <w:r>
              <w:rPr>
                <w:rFonts w:ascii="Arial" w:hAnsi="Arial"/>
                <w:sz w:val="17"/>
              </w:rPr>
              <w:t>0.04 h⁻¹</w:t>
            </w:r>
          </w:p>
        </w:tc>
        <w:tc>
          <w:tcPr>
            <w:tcW w:type="dxa" w:w="1872"/>
            <w:shd w:fill="F8FAFC"/>
            <w:tcMar>
              <w:top w:w="80" w:type="dxa"/>
              <w:bottom w:w="80" w:type="dxa"/>
              <w:left w:w="100" w:type="dxa"/>
              <w:right w:w="100" w:type="dxa"/>
            </w:tcMar>
          </w:tcPr>
          <w:p>
            <w:pPr>
              <w:spacing w:after="40" w:before="40"/>
            </w:pPr>
            <w:r>
              <w:rPr>
                <w:rFonts w:ascii="Arial" w:hAnsi="Arial"/>
                <w:sz w:val="17"/>
              </w:rPr>
              <w:t>0.12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Contact angles are conditional on η_eff. Young's equation then gives the contact angle:</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normal distributions of ΔG_ads (±0.5 kcal/mol) and η_eff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Variance-based global sensitivity analysis was performed over the 8 parameter distributions detailed in Table 3 (D = 8) using SALib (v1.5) under the Saltelli extension of the Sobol low-discrepancy sequence [90,91]. A scrambled quasi-random Sobol sequence of base sample size N_base = 512 was generated with a declared pseudo-random seed (seed = 42). Without second-order cross terms (calc_second_order = False), the radial design generates N_eval = N_base × (D + 2) = 5120 total physical model evaluations, evaluated directly through the FH-VO Brent root solver for T_cloud^app and the mass-conserving kinetic master equations for M_final. First-order indices S_i and total-effect indices S_Ti were calculated using the standard Saltelli et al. (2010) estimators: S_i = ⟨B(AB_i - A)⟩ / V(Y) and S_Ti = (1/2) ⟨(A - AB_i)²⟩ / V(Y). Confidence intervals at the 95% level were computed via 1000 bootstrap resamples. Numerical convergence was strictly computed from the nested dyadic sub-blocks N ∈ {64, 128, 256, 512} without empirical interpolation or fitting.</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Data and Code Availability</w:t>
      </w:r>
    </w:p>
    <w:p>
      <w:pPr>
        <w:spacing w:after="100"/>
      </w:pPr>
      <w:r>
        <w:t>All numerical simulation codes, statistical thermodynamic solvers, master equation integrators, unit test suites, digitized literature data, and figure generation routines are openly available in the project GitHub repository (https://github.com/sircalch/llps-tau-2d-nanomaterials) supported by multiplatform continuous integration. A permanent public Zenodo archive with an immutable DOI will be minted upon tagged release following peer review.</w:t>
      </w:r>
    </w:p>
    <w:p>
      <w:pPr>
        <w:spacing w:before="280" w:after="80"/>
      </w:pPr>
      <w:r>
        <w:rPr>
          <w:rFonts w:ascii="Arial" w:hAnsi="Arial"/>
          <w:b/>
          <w:sz w:val="25"/>
        </w:rPr>
        <w:t>5. Author Contributions</w:t>
      </w:r>
    </w:p>
    <w:p>
      <w:pPr>
        <w:spacing w:after="100"/>
      </w:pPr>
      <w:r>
        <w:t>A.M.H. conceived the project, developed the theoretical FH-VO model, performed numerical simulations, Sobol sensitivity analysis, and manuscript drafting. J.M.M.B. contributed to thermodynamic formulations, wetting derivations, and manuscript editing. S.L.F.A. contributed to biophysical validation, literature benchmarking, and manuscript review. C.I.M.O. performed statistical mechanics verification, dimensional consistency auditing, and manuscript editing. All authors approved the final manuscript.</w:t>
      </w:r>
    </w:p>
    <w:p>
      <w:pPr>
        <w:spacing w:before="280" w:after="80"/>
      </w:pPr>
      <w:r>
        <w:rPr>
          <w:rFonts w:ascii="Arial" w:hAnsi="Arial"/>
          <w:b/>
          <w:sz w:val="25"/>
        </w:rPr>
        <w:t>6. Competing Interests</w:t>
      </w:r>
    </w:p>
    <w:p>
      <w:pPr>
        <w:spacing w:after="100"/>
      </w:pPr>
      <w:r>
        <w:t>The authors declare no competing financial or non-financial interests.</w:t>
      </w:r>
    </w:p>
    <w:p>
      <w:pPr>
        <w:spacing w:before="280" w:after="80"/>
      </w:pPr>
      <w:r>
        <w:rPr>
          <w:rFonts w:ascii="Arial" w:hAnsi="Arial"/>
          <w:b/>
          <w:sz w:val="25"/>
        </w:rPr>
        <w:t>7. 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Annoni, P.; Azzini, I.; Campolongo, F.; Ratto, M.; Tarantola, S. Variance based sensitivity analysis of model output. Design and estimator for the total sensitivity index. Comput. Phys. Commun. 2010, 181, 259–270.</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Mavridi-Printezi, A.; Vasileiou, C.; Ramis, R.; Ortega-Alarcon, D.; Vega, M. C.; Pastore, A.; Samitier, J.; Ventura, S.; Carulla, N. Global Structure of the Intrinsically Disordered Protein Tau Emerges from Its Local Structure.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