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Arial" w:hAnsi="Arial"/>
          <w:b/>
          <w:color w:val="0F172A"/>
          <w:sz w:val="28"/>
        </w:rPr>
        <w:t>COVER LETTER</w:t>
      </w:r>
    </w:p>
    <w:p>
      <w:pPr>
        <w:spacing w:after="120" w:line="276" w:lineRule="auto"/>
      </w:pPr>
      <w:r>
        <w:rPr>
          <w:rFonts w:ascii="Arial" w:hAnsi="Arial"/>
          <w:b/>
          <w:i w:val="0"/>
          <w:sz w:val="20"/>
        </w:rPr>
        <w:t>Date: September 3, 2026</w:t>
      </w:r>
    </w:p>
    <w:p>
      <w:pPr>
        <w:spacing w:after="120" w:line="276" w:lineRule="auto"/>
      </w:pPr>
      <w:r>
        <w:rPr>
          <w:rFonts w:ascii="Arial" w:hAnsi="Arial"/>
          <w:b/>
          <w:i w:val="0"/>
          <w:sz w:val="20"/>
        </w:rPr>
        <w:t>To: The Editorial Office, Soft Matter (Royal Society of Chemistry)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From: Prof. Andrés Monreal Hernández (Corresponding Author)</w:t>
        <w:br/>
        <w:t>Universidad Estatal de Sonora, Hermosillo, Sonora, Mexico</w:t>
        <w:br/>
        <w:t>Email: andres.monreal@ues.mx</w:t>
      </w:r>
    </w:p>
    <w:p>
      <w:pPr>
        <w:spacing w:after="240" w:line="276" w:lineRule="auto"/>
      </w:pPr>
      <w:r>
        <w:rPr>
          <w:rFonts w:ascii="Arial" w:hAnsi="Arial"/>
          <w:b/>
          <w:i w:val="0"/>
          <w:sz w:val="20"/>
        </w:rPr>
        <w:t>Subject: Submission of Original Research Article</w:t>
      </w:r>
    </w:p>
    <w:p>
      <w:pPr>
        <w:spacing w:after="160" w:line="276" w:lineRule="auto"/>
      </w:pPr>
      <w:r>
        <w:rPr>
          <w:rFonts w:ascii="Arial" w:hAnsi="Arial"/>
          <w:b w:val="0"/>
          <w:i w:val="0"/>
          <w:sz w:val="20"/>
        </w:rPr>
        <w:t>Dear Editor,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We are pleased to submit our manuscript entitled "Thermodynamic modulation of Tau liquid-liquid phase separation and condensate wetting by two-dimensional nanomaterial interfaces: emergent suppression via adsorption equilibrium" for consideration as an Original Research Paper in Soft Matter.</w:t>
      </w:r>
    </w:p>
    <w:p>
      <w:pPr>
        <w:spacing w:after="80" w:line="276" w:lineRule="auto"/>
      </w:pPr>
      <w:r>
        <w:rPr>
          <w:rFonts w:ascii="Arial" w:hAnsi="Arial"/>
          <w:b/>
          <w:i w:val="0"/>
          <w:sz w:val="20"/>
        </w:rPr>
        <w:t>Motivation and Core Soft-Matter Insight: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Biomolecular condensates formed by liquid-liquid phase separation (LLPS) of intrinsically disordered proteins (IDPs) such as Tau regulate cellular compartmentalization, but aberrant phase transitions inside crowded droplets can nucleate pathological cross-beta amyloid fibrils associated with tauopathies. Despite intense interest in soft nanotechnology and biointerfaces, a predictive theoretical framework explaining how structured physical boundaries modulate biomolecular phase coexistence, wetting transitions, and condensate aging kinetics has remained lacking.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In this work, we present a coarse-grained statistical-thermodynamic and kinetic theory coupling Flory-Huggins-Voorn-Overbeek (FH-VO) polymer physics with Langmuir interfacial adsorption mass balance, Cahn-Hilliard wetting theory, and strictly dimensional master equations. The central soft-matter insight of our study is that 2D interface-mediated LLPS suppression emerges self-consistently from interfacial monomer sequestration governed by the interfacial area density (a_s), without requiring empirical alterations to the intrinsic macromolecular Flory interaction parameter (dchi/da_s = 0).</w:t>
      </w:r>
    </w:p>
    <w:p>
      <w:pPr>
        <w:spacing w:after="80" w:line="276" w:lineRule="auto"/>
      </w:pPr>
      <w:r>
        <w:rPr>
          <w:rFonts w:ascii="Arial" w:hAnsi="Arial"/>
          <w:b/>
          <w:i w:val="0"/>
          <w:sz w:val="20"/>
        </w:rPr>
        <w:t>Highlights of the Framework: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1. Quantitative Calibration to Tau K18: Parameterized against experimental LCST turbidity onset measurements of Tau K18 (15.3 °C at 100 µM; Ambadipudi et al., Nat. Commun. 2017).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2. Invariant Interfacial Coordinate &amp; Representative Scenarios: Establishes interfacial area density a_s as the fundamental physical coordinate. We contrast a high-affinity borophene-like scenario (dG_ads = -7.8 kcal/mol, contact angle theta_c = 50.3°) that dissolves LLPS up to 29.4 °C at a_s = 1.0e-4 nm^-1 and depletes ~60% monomer at 37 °C, against a moderate-affinity Ti3C2Tx MXene-like scenario (dG_ads = -5.2 kcal/mol, theta_c = 79.3°) that maintains droplet coexistence.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3. Dimensional Aging Kinetics: Demonstrates that interfacial monomer extraction delays autocatalytic secondary nucleation inside condensates without altering intrinsic rate laws.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4. Saltelli Sobol Global Sensitivity Analysis (SALib): With N_base = 1024 (10240 physical model evaluations) and nested block convergence, showing that the apparent cloud point responds near-additively to all six active thermodynamic and interfacial parameters, while fibrillation arrest is governed almost entirely by area density a_s and extraction rate k_ext.</w:t>
      </w:r>
    </w:p>
    <w:p>
      <w:pPr>
        <w:spacing w:after="80" w:line="276" w:lineRule="auto"/>
      </w:pPr>
      <w:r>
        <w:rPr>
          <w:rFonts w:ascii="Arial" w:hAnsi="Arial"/>
          <w:b/>
          <w:i w:val="0"/>
          <w:sz w:val="20"/>
        </w:rPr>
        <w:t>Compliance with RSC Policies and Declarations: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• Scope Fit: Directly aligns with the scope of Soft Matter, bridging biopolymers, liquid-liquid phase coexistence, wetting transitions, and soft nanotechnology.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• Conflicts of Interest: The authors declare that there are no conflicts of interest.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• Open Data &amp; Code: Fully open in GitHub (https://github.com/sircalch/llps-tau-2d-nanomaterials) with continuous integration. An immutable Zenodo DOI will be permanently minted from the v1.0.0 release.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• Generative AI Disclosure: In accordance with RSC policy, generative AI tools (OpenAI Codex / Anthropic Claude / Google Gemini) were utilized for code review, unit test generation, and manuscript formatting. All models, calculations, and interpretations were independently formulated and verified by the authors.</w:t>
      </w:r>
    </w:p>
    <w:p>
      <w:pPr>
        <w:spacing w:after="80" w:line="276" w:lineRule="auto"/>
      </w:pPr>
      <w:r>
        <w:rPr>
          <w:rFonts w:ascii="Arial" w:hAnsi="Arial"/>
          <w:b/>
          <w:i w:val="0"/>
          <w:sz w:val="20"/>
        </w:rPr>
        <w:t>Suggested Independent Referees: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sz w:val="20"/>
        </w:rPr>
        <w:t>1. Prof. Rohit V. Pappu (Washington University in St. Louis) - pappu@wustl.edu</w:t>
        <w:br/>
        <w:t>2. Prof. Tuomas P. J. Knowles (University of Cambridge) - tpjk2@cam.ac.uk</w:t>
        <w:br/>
        <w:t>3. Prof. Yury Gogotsi (Drexel University) - gogotsi@drexel.edu</w:t>
        <w:br/>
        <w:t>4. Dr. Roland L. Knorr (Max Planck Institute of Colloids and Interfaces) - roland.knorr@mpikg.mpg.de</w:t>
      </w:r>
    </w:p>
    <w:p>
      <w:pPr>
        <w:spacing w:after="240" w:line="276" w:lineRule="auto"/>
      </w:pPr>
      <w:r>
        <w:rPr>
          <w:rFonts w:ascii="Arial" w:hAnsi="Arial"/>
          <w:b w:val="0"/>
          <w:i w:val="0"/>
          <w:sz w:val="20"/>
        </w:rPr>
        <w:t>Thank you very much for your time and editorial consideration.</w:t>
        <w:br/>
        <w:br/>
        <w:t>Sincerely,</w:t>
        <w:br/>
        <w:t>Prof. Andrés Monreal Hernández</w:t>
        <w:br/>
        <w:t>Corresponding Author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