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Arial" w:hAnsi="Arial"/>
          <w:b/>
          <w:sz w:val="32"/>
        </w:rPr>
        <w:t>Thermodynamic modulation of Tau liquid-liquid phase separation and condensate wetting by two-dimensional nanomaterial interfaces: emergent suppression via adsorption equilibrium</w:t>
      </w:r>
    </w:p>
    <w:p>
      <w:pPr>
        <w:spacing w:after="80"/>
      </w:pPr>
      <w:r>
        <w:rPr>
          <w:b/>
          <w:sz w:val="19"/>
        </w:rPr>
        <w:t>Andrés Monreal Hernández</w:t>
      </w:r>
      <w:r>
        <w:rPr>
          <w:sz w:val="19"/>
          <w:vertAlign w:val="superscript"/>
        </w:rPr>
        <w:t>1,*</w:t>
      </w:r>
      <w:r>
        <w:t xml:space="preserve">, </w:t>
      </w:r>
      <w:r>
        <w:rPr>
          <w:b/>
          <w:sz w:val="19"/>
        </w:rPr>
        <w:t>Jesús Martín Muñoz Bautista</w:t>
      </w:r>
      <w:r>
        <w:rPr>
          <w:sz w:val="19"/>
          <w:vertAlign w:val="superscript"/>
        </w:rPr>
        <w:t>2</w:t>
      </w:r>
      <w:r>
        <w:t xml:space="preserve">, </w:t>
      </w:r>
      <w:r>
        <w:rPr>
          <w:b/>
          <w:sz w:val="19"/>
        </w:rPr>
        <w:t>Sara Lizbeth Franco Amaya</w:t>
      </w:r>
      <w:r>
        <w:rPr>
          <w:sz w:val="19"/>
          <w:vertAlign w:val="superscript"/>
        </w:rPr>
        <w:t>3</w:t>
      </w:r>
      <w:r>
        <w:t xml:space="preserve">, </w:t>
      </w:r>
      <w:r>
        <w:rPr>
          <w:b/>
          <w:sz w:val="19"/>
        </w:rPr>
        <w:t>Carlos Ivanhoe Martínez Osorio</w:t>
      </w:r>
      <w:r>
        <w:rPr>
          <w:sz w:val="19"/>
          <w:vertAlign w:val="superscript"/>
        </w:rPr>
        <w:t>4</w:t>
      </w:r>
    </w:p>
    <w:p>
      <w:pPr>
        <w:spacing w:after="30"/>
      </w:pPr>
      <w:r>
        <w:rPr>
          <w:sz w:val="16"/>
          <w:vertAlign w:val="superscript"/>
        </w:rPr>
        <w:t xml:space="preserve">1 </w:t>
      </w:r>
      <w:r>
        <w:rPr>
          <w:i/>
          <w:sz w:val="16"/>
        </w:rPr>
        <w:t>Universidad Estatal de Sonora, Ley Federal del Trabajo s/n, 83100 Hermosillo, Sonora, Mexico.</w:t>
      </w:r>
    </w:p>
    <w:p>
      <w:pPr>
        <w:spacing w:after="30"/>
      </w:pPr>
      <w:r>
        <w:rPr>
          <w:sz w:val="16"/>
          <w:vertAlign w:val="superscript"/>
        </w:rPr>
        <w:t xml:space="preserve">2 </w:t>
      </w:r>
      <w:r>
        <w:rPr>
          <w:i/>
          <w:sz w:val="16"/>
        </w:rPr>
        <w:t>Departamento de Investigación y Posgrado en Alimentos (DIPA), Universidad de Sonora, Blvd. Luis Encinas y Rosales, 83000 Hermosillo, Sonora, Mexico.</w:t>
      </w:r>
    </w:p>
    <w:p>
      <w:pPr>
        <w:spacing w:after="30"/>
      </w:pPr>
      <w:r>
        <w:rPr>
          <w:sz w:val="16"/>
          <w:vertAlign w:val="superscript"/>
        </w:rPr>
        <w:t xml:space="preserve">3 </w:t>
      </w:r>
      <w:r>
        <w:rPr>
          <w:i/>
          <w:sz w:val="16"/>
        </w:rPr>
        <w:t>Doctorado en Nanotecnología, Departamento de Física, Universidad de Sonora, Blvd. Luis Encinas y Rosales, 83000 Hermosillo, Sonora, Mexico.</w:t>
      </w:r>
    </w:p>
    <w:p>
      <w:pPr>
        <w:spacing w:after="30"/>
      </w:pPr>
      <w:r>
        <w:rPr>
          <w:sz w:val="16"/>
          <w:vertAlign w:val="superscript"/>
        </w:rPr>
        <w:t xml:space="preserve">4 </w:t>
      </w:r>
      <w:r>
        <w:rPr>
          <w:i/>
          <w:sz w:val="16"/>
        </w:rPr>
        <w:t>Doctorado en Ciencia de Materiales, Departamento de Investigación en Polímeros y Materiales (DIPM), Universidad de Sonora, 83000 Hermosillo, Sonora, Mexico.</w:t>
      </w:r>
    </w:p>
    <w:p>
      <w:pPr>
        <w:spacing w:after="200"/>
      </w:pPr>
      <w:r>
        <w:rPr>
          <w:b/>
          <w:sz w:val="16"/>
        </w:rPr>
        <w:t xml:space="preserve">* Correspondence: </w:t>
      </w:r>
      <w:r>
        <w:rPr>
          <w:sz w:val="16"/>
        </w:rPr>
        <w:t>andres.monreal@ues.mx</w:t>
      </w:r>
    </w:p>
    <w:p>
      <w:pPr>
        <w:spacing w:after="280"/>
        <w:jc w:val="both"/>
      </w:pPr>
      <w:r>
        <w:rPr>
          <w:b/>
          <w:sz w:val="19"/>
        </w:rPr>
        <w:t>Abstract—</w:t>
      </w:r>
      <w:r>
        <w:rPr>
          <w:sz w:val="19"/>
        </w:rPr>
        <w:t>Biomolecular condensates formed via liquid-liquid phase separation (LLPS) of the intrinsically disordered protein Tau are implicated in subcellular compartmentalization, yet dense condensates risk undergoing pathological cross-β amyloid transitions. Here, we establish a physics-based, coarse-grained statistical-thermodynamic and kinetic framework combining Flory-Huggins-Voorn-Overbeek (FH-VO) polymer theory with Langmuir interfacial adsorption, Cahn-Hilliard wetting theory, and mass-conserving master equations to investigate how two-dimensional (2D) nanomaterial biointerfaces modulate Tau LLPS and condensate aging. Calibrated against the experimental Lower Critical Solution Temperature (LCST) turbidity onset of Tau K18 (15.3 °C at 100 µM), the model demonstrates that 2D interface-mediated LLPS suppression emerges self-consistently from interfacial monomer sequestration governed by area density a_s (without empirical alterations to the intrinsic Flory parameter, ∂χ/∂a_s = 0). Using literature-informed representative parameter scenarios, a high-affinity borophene-like scenario (ΔG_ads = -7.8 kcal/mol, contact angle θ_c = 50.3°) shifts the apparent cloud point to 29.4 °C at a_s = 1.0×10⁻⁴ nm⁻¹, dissolving condensates across room and sub-physiological temperatures and depleting ~60% free monomer at 37 °C. In contrast, a moderate-affinity Ti3C2Tx MXene-like scenario (ΔG_ads = -5.2 kcal/mol, θ_c = 79.3°) produces modest depletion, maintaining stable droplet coexistence. Within a kinetic formulation that holds the intrinsic aggregation rate-law structure fixed, interfacial sequestration delays secondary-nucleation-driven aging. A converged global sensitivity analysis shows the apparent cloud point depending near-additively and comparably on the bulk-LCST parameters (β, Tc) and the interfacial parameters (ΔG_ads, a_s), whereas fibrillation arrest is governed almost entirely by area density a_s and extraction rate k_ext.</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 Under physiological conditions, the microtubule-associated protein Tau undergoes LLPS driven by electrostatic and hydrophobic interactions [5,6]. However, the high local protein density inside condensates (10- to 100-fold higher than in the dilute bulk phase) dramatically accelerates primary and secondary nucleation of cross-β amyloid fibrils, promoting an aberrant liquid-to-solid phase transition associated with neurodegenerative tauopathies [5,6,18,19].</w:t>
      </w:r>
    </w:p>
    <w:p>
      <w:pPr>
        <w:spacing w:after="100"/>
      </w:pPr>
      <w:r>
        <w:t>Recent experimental studies have shown that biomolecular condensates interact actively with physical boundaries, displaying rich wetting, spreading, and interfacial anchoring phenomena on lipid membranes and nanomaterials [14-16,27].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extraordinary platforms with ultra-high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has remained lacking. In this study, we formulate a statistical-thermodynamic and kinetic framework where 2D interface-driven LLPS modulation emerges from explicit adsorption mass balance rather than from an imposed nanosheet-dependent modification of the intrinsic Flory interaction parameter. We parameterize the bulk LLPS model to reproduce the reported temperature-dependent LCST turbidity onset of Tau K18 (100 µM, 50 mM sodium phosphate, pH 8.8, 0.5 mM TCEP; Ambadipudi et al. [5]), derive contact angles from Young's equation via the Langmuir surface grand potential, formulate strictly dimensional master equations for condensate aging, and perform global variance-based sensitivity analysis of the model parameters.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[5], driven by the hydrophobic desolvation entropy of repeat domain hexapeptide motifs (VQIVYK in R3 and VQIINK in R2) [5]. The FH-VO model, with critical parameters solved numerically from the full free energy functional (f''(φ_c) = 0 and f'''(φ_c) = 0, yielding φ_c = 0.246, χ_c = 0.872), is parameterized with critical temperature Tc = 8.5 °C (281.65 K) and thermal slope β = 0.0090 K⁻¹. Under this parameterization, the theoretical cloud point for nominal 100 µM Tau K18 (order parameter φ_tilde_total = 0.095) evaluates to T_cloud = 15.3 °C via Brent root solving, consistent with the reported ~15 °C turbidity onset in Figure 2b of Ambadipudi et al. (Nat. Commun. 2017) (Fig. 1a, inset). At physiological temperature (37 °C), the bulk system coexists between a dilute monomer pool (φ_tilde_dilute = 0.026, corresponding to c_dilute ≈ 27.4 µM) and dense condensate droplets (φ_tilde_dense = 0.670, corresponding to c_dense ≈ 705 µM).</w:t>
      </w:r>
    </w:p>
    <w:p>
      <w:pPr>
        <w:spacing w:after="100"/>
      </w:pPr>
      <w:r>
        <w:t>Figure 1b illustrates the physical mechanism of LLPS modulation upon introducing 2D nanomaterial interfaces. The fundamental governing coordinate of the theoretical framework is the interfacial area density a_s.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10³⁰ / N_A) represents the surface capacity expressed on the identical order-parameter scale. For the literature-informed borophene-like scenario (Scenario 1, ΔG_ads = -7.8 kcal/mol) at a_s = 1.0×10⁻⁴ nm⁻¹ (which corresponds to C_nano = 100 µg/mL only under an illustrative reference conversion assuming an idealized monolayer-accessible specific surface area SSA = 1000 m²/g), free monomer concentration drops by nearly 60% to c_free ≈ 41.4 µM, shifting the apparent cloud point to 29.4 °C and dissolving the condensate at temperatures below 29.4 °C. In contrast, the Ti3C2Tx MXene-like scenario (Scenario 2, ΔG_ads = -5.2 kcal/mol), exhibiting weaker adsorption affinity, produces only partial depletion (c_free ≈ 87.6 µM at a_s = 1.0×10⁻⁴ nm⁻¹), maintaining droplets stable across this area density range at 37 °C. Notably, for multilayered nanomaterials subject to restacking with lower accessible BET surface areas (10–100 m²/g), equivalent a_s values would require correspondingly higher mass loadings.</w:t>
      </w:r>
    </w:p>
    <w:p>
      <w:pPr>
        <w:spacing w:before="120" w:after="60"/>
        <w:jc w:val="center"/>
      </w:pPr>
    </w:p>
    <w:p>
      <w:r>
        <w:drawing>
          <wp:inline xmlns:a="http://schemas.openxmlformats.org/drawingml/2006/main" xmlns:pic="http://schemas.openxmlformats.org/drawingml/2006/picture">
            <wp:extent cx="5669280" cy="2871123"/>
            <wp:docPr id="1" name="Picture 1"/>
            <wp:cNvGraphicFramePr>
              <a:graphicFrameLocks noChangeAspect="1"/>
            </wp:cNvGraphicFramePr>
            <a:graphic>
              <a:graphicData uri="http://schemas.openxmlformats.org/drawingml/2006/picture">
                <pic:pic>
                  <pic:nvPicPr>
                    <pic:cNvPr id="0" name="Figure_1_Tau_LLPS_Phase_Diagram.png"/>
                    <pic:cNvPicPr/>
                  </pic:nvPicPr>
                  <pic:blipFill>
                    <a:blip r:embed="rId9"/>
                    <a:stretch>
                      <a:fillRect/>
                    </a:stretch>
                  </pic:blipFill>
                  <pic:spPr>
                    <a:xfrm>
                      <a:off x="0" y="0"/>
                      <a:ext cx="5669280" cy="2871123"/>
                    </a:xfrm>
                    <a:prstGeom prst="rect"/>
                  </pic:spPr>
                </pic:pic>
              </a:graphicData>
            </a:graphic>
          </wp:inline>
        </w:drawing>
      </w:r>
    </w:p>
    <w:p>
      <w:pPr>
        <w:spacing w:before="40" w:after="160"/>
      </w:pPr>
      <w:r>
        <w:rPr>
          <w:b/>
          <w:sz w:val="17"/>
        </w:rPr>
        <w:t xml:space="preserve">Figure 1. </w:t>
      </w:r>
      <w:r>
        <w:rPr>
          <w:sz w:val="17"/>
        </w:rPr>
        <w:t>Bulk LCST phase diagram of Tau K18 and adsorption-driven state point shift. (a) Numerically determined binodal coexistence (solid blue) and spinodal instability boundary (dashed blue) parameterized to the 100 µM cloud point at 15.3 °C. Inset: Experimental normalized turbidity trajectory A350(T) digitized directly from Figure 2b of Ambadipudi et al. (Nat. Commun. 2017, DOI: 10.1038/s41467-017-00480-0). (b) Free monomer depletion φ_tilde_free as a function of interfacial area density a_s (with top axis showing illustrative reference loading C_nano for SSA = 1000 m²/g) at 37 °C, demonstrating strong depletion for the borophene-like scenario vs partial depletion for the MXene-like scenario.</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(15–50 °C). Electrostatic screening follows Voorn-Overbeek / Debye-Hückel scaling (-α_DH (I/I_0)^(3/2)), showing that moderate ionic strength maintains condensate stability, while elevated salt screens electrostatic interactions, reducing the two-phase coexistence gap.</w:t>
      </w:r>
    </w:p>
    <w:p>
      <w:pPr>
        <w:spacing w:after="100"/>
      </w:pPr>
      <w:r>
        <w:t>Figure 2b maps the Cahn-Hilliard wetting contact angle θ_c derived from Young's equation across surface energy excess Δγ_s and temperature. The liquid-liquid interfacial tension evaluates to γ_LL = 1.601 µN/m at 37 °C under the unified energy-density scale f_0 = 1.50×10⁴ J/m³ (v_ref = 2.85×10⁻²⁵ m³). For the stabilized borophene-like scenario, the solid-liquid surface energy excess evaluates to Δγ_s = 1.023 µN/m (derived directly from the Langmuir surface grand potential with η_eff = 0.20×10⁻³ and standard activity a = c/c°), yielding cos(θ_c) = 1.023 / 1.601 = 0.639 and θ_c = 50.3° at 37 °C. For the Ti3C2Tx MXene-like scenario, Δγ_s = 0.296 µN/m yields cos(θ_c) = 0.296 / 1.601 = 0.185 and θ_c = 79.3°.</w:t>
      </w:r>
    </w:p>
    <w:p>
      <w:pPr>
        <w:spacing w:before="120" w:after="60"/>
        <w:jc w:val="center"/>
      </w:pPr>
    </w:p>
    <w:p>
      <w:r>
        <w:drawing>
          <wp:inline xmlns:a="http://schemas.openxmlformats.org/drawingml/2006/main" xmlns:pic="http://schemas.openxmlformats.org/drawingml/2006/picture">
            <wp:extent cx="5669280" cy="2434751"/>
            <wp:docPr id="2" name="Picture 2"/>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0"/>
                    <a:stretch>
                      <a:fillRect/>
                    </a:stretch>
                  </pic:blipFill>
                  <pic:spPr>
                    <a:xfrm>
                      <a:off x="0" y="0"/>
                      <a:ext cx="5669280" cy="2434751"/>
                    </a:xfrm>
                    <a:prstGeom prst="rect"/>
                  </pic:spPr>
                </pic:pic>
              </a:graphicData>
            </a:graphic>
          </wp:inline>
        </w:drawing>
      </w:r>
    </w:p>
    <w:p>
      <w:pPr>
        <w:spacing w:before="40" w:after="160"/>
      </w:pPr>
      <w:r>
        <w:rPr>
          <w:b/>
          <w:sz w:val="17"/>
        </w:rPr>
        <w:t xml:space="preserve">Figure 2. </w:t>
      </w:r>
      <w:r>
        <w:rPr>
          <w:sz w:val="17"/>
        </w:rPr>
        <w:t>Electrostatic screening and wetting transition map. (a) Phase density contrast Δφ_tilde as a function of [NaCl] and temperature. (b) Cahn-Hilliard wetting map showing contact angle θ_c vs surface energy excess Δγ_s and temperature. Exact dynamically calculated coordinates for the stabilized borophene-like scenario (red star, Δγ_s = 1.02 µN/m, θ_c = 50.3°) and Ti3C2Tx MXene-like scenario (blue diamond, Δγ_s = 0.30 µN/m, θ_c = 79.3°) at 37 °C are indicated.</w:t>
      </w:r>
    </w:p>
    <w:p>
      <w:pPr>
        <w:spacing w:before="200" w:after="60"/>
      </w:pPr>
      <w:r>
        <w:rPr>
          <w:rFonts w:ascii="Arial" w:hAnsi="Arial"/>
          <w:b/>
          <w:sz w:val="21"/>
        </w:rPr>
        <w:t>2.3 Material-Specific Differentiation: Borophene-like vs MXene-like Representative Scenarios</w:t>
      </w:r>
    </w:p>
    <w:p>
      <w:pPr>
        <w:spacing w:after="100"/>
      </w:pPr>
      <w:r>
        <w:t>Figure 3 compares the quantitative performance of the literature-informed borophene-like and MXene-like representative scenarios across interfacial area density a_s ∈ [0, 1.0×10⁻⁴] nm⁻¹ (shown alongside the illustrative reference loading C_nano ∈ [0, 100] µg/mL for SSA = 1000 m²/g). The apparent cloud point T_cloud^app (Fig. 3a) was determined by solving the true thermodynamic binodal root φ_tilde_free(T, a_s) = φ_tilde_dilute(T) via Brent's method. For the borophene-like scenario, T_cloud^app shifts from 15.3 °C (control) up to 29.4 °C at a_s = 1.0×10⁻⁴ nm⁻¹, demonstrating a +14.1 °C thermal stabilization of the mixed state. For the MXene-like scenario, T_cloud^app increases modestly from 15.3 °C to 17.8 °C (+2.5 °C). Continuous wetting angles θ_c(T) across 15–50 °C with Monte Carlo 95% confidence intervals (Fig. 3b) remain in the partial wetting regime for both scenarios, while kinetic lag times τ_lag (Fig. 3c) and final fibril mass M_final (Fig. 3d) reflect monomer sequestration.</w:t>
      </w:r>
    </w:p>
    <w:p>
      <w:pPr>
        <w:spacing w:before="120" w:after="60"/>
        <w:jc w:val="center"/>
      </w:pPr>
    </w:p>
    <w:p>
      <w:r>
        <w:drawing>
          <wp:inline xmlns:a="http://schemas.openxmlformats.org/drawingml/2006/main" xmlns:pic="http://schemas.openxmlformats.org/drawingml/2006/picture">
            <wp:extent cx="5669280" cy="4444716"/>
            <wp:docPr id="3" name="Picture 3"/>
            <wp:cNvGraphicFramePr>
              <a:graphicFrameLocks noChangeAspect="1"/>
            </wp:cNvGraphicFramePr>
            <a:graphic>
              <a:graphicData uri="http://schemas.openxmlformats.org/drawingml/2006/picture">
                <pic:pic>
                  <pic:nvPicPr>
                    <pic:cNvPr id="0" name="Figure_3_Borophene_vs_MXene_Comparison.png"/>
                    <pic:cNvPicPr/>
                  </pic:nvPicPr>
                  <pic:blipFill>
                    <a:blip r:embed="rId11"/>
                    <a:stretch>
                      <a:fillRect/>
                    </a:stretch>
                  </pic:blipFill>
                  <pic:spPr>
                    <a:xfrm>
                      <a:off x="0" y="0"/>
                      <a:ext cx="5669280" cy="4444716"/>
                    </a:xfrm>
                    <a:prstGeom prst="rect"/>
                  </pic:spPr>
                </pic:pic>
              </a:graphicData>
            </a:graphic>
          </wp:inline>
        </w:drawing>
      </w:r>
    </w:p>
    <w:p>
      <w:pPr>
        <w:spacing w:before="40" w:after="160"/>
      </w:pPr>
      <w:r>
        <w:rPr>
          <w:b/>
          <w:sz w:val="17"/>
        </w:rPr>
        <w:t xml:space="preserve">Figure 3. </w:t>
      </w:r>
      <w:r>
        <w:rPr>
          <w:sz w:val="17"/>
        </w:rPr>
        <w:t>Quantitative comparison between literature-informed borophene-like and MXene-like representative scenarios. (a) True thermodynamic apparent cloud-point temperature T_cloud^app vs interfacial area density a_s solved via Brent's method (with illustrative C_nano scale).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a_s = 0 nm⁻¹, Fig. 4a), high local monomer concentration triggers autocatalytic secondary nucleation that converts essentially the entire dense-phase monomer pool into solid fibrils within ~12 hours (M_final → φ_dense(0) = 0.60; τ_lag = 2.70 h). In the presence of 2D nanosheets (Fig. 4b,c), interfacial monomer extraction depletes the liquid monomer fraction φ_dense(t), extending the solidification lag time to 2.94 h at a_s = 1.0×10⁻⁴ nm⁻¹ (Fig. 4d) and reducing the final fibril mass fraction to 0.570 (a ~5% absolute reduction). We explicitly emphasize that this kinetic module is a prospective normalized amyloid-aging model, as spontaneous fibrillation of pure Tau K18 without polyanionic cofactors (such as heparin) proceeds at slower basal rates [5,6].</w:t>
      </w:r>
    </w:p>
    <w:p>
      <w:pPr>
        <w:spacing w:before="120" w:after="60"/>
        <w:jc w:val="center"/>
      </w:pPr>
    </w:p>
    <w:p>
      <w:r>
        <w:drawing>
          <wp:inline xmlns:a="http://schemas.openxmlformats.org/drawingml/2006/main" xmlns:pic="http://schemas.openxmlformats.org/drawingml/2006/picture">
            <wp:extent cx="5669280" cy="4346448"/>
            <wp:docPr id="4" name="Picture 4"/>
            <wp:cNvGraphicFramePr>
              <a:graphicFrameLocks noChangeAspect="1"/>
            </wp:cNvGraphicFramePr>
            <a:graphic>
              <a:graphicData uri="http://schemas.openxmlformats.org/drawingml/2006/picture">
                <pic:pic>
                  <pic:nvPicPr>
                    <pic:cNvPr id="0" name="Figure_4_Condensate_Aging_Kinetics.png"/>
                    <pic:cNvPicPr/>
                  </pic:nvPicPr>
                  <pic:blipFill>
                    <a:blip r:embed="rId12"/>
                    <a:stretch>
                      <a:fillRect/>
                    </a:stretch>
                  </pic:blipFill>
                  <pic:spPr>
                    <a:xfrm>
                      <a:off x="0" y="0"/>
                      <a:ext cx="5669280" cy="4346448"/>
                    </a:xfrm>
                    <a:prstGeom prst="rect"/>
                  </pic:spPr>
                </pic:pic>
              </a:graphicData>
            </a:graphic>
          </wp:inline>
        </w:drawing>
      </w:r>
    </w:p>
    <w:p>
      <w:pPr>
        <w:spacing w:before="40" w:after="160"/>
      </w:pPr>
      <w:r>
        <w:rPr>
          <w:b/>
          <w:sz w:val="17"/>
        </w:rPr>
        <w:t xml:space="preserve">Figure 4. </w:t>
      </w:r>
      <w:r>
        <w:rPr>
          <w:sz w:val="17"/>
        </w:rPr>
        <w:t>Condensate aging kinetics under strictly dimensional master equations. (a) Fibril mass fraction M_drop(t). (b) Liquid monomer depletion φ_dense(t). (c) Interfacial monomer sequestration m_ads(t). (d) Fibrillation lag time τ_lag vs interfacial area density a_s across [0, 1.0×10⁻⁴] nm⁻¹ (with illustrative reference loading C_nano ∈ [0, 100] µg/mL).</w:t>
      </w:r>
    </w:p>
    <w:p>
      <w:pPr>
        <w:spacing w:before="200" w:after="60"/>
      </w:pPr>
      <w:r>
        <w:rPr>
          <w:rFonts w:ascii="Arial" w:hAnsi="Arial"/>
          <w:b/>
          <w:sz w:val="21"/>
        </w:rPr>
        <w:t>2.5 Global Sensitivity and Convergence Analysis</w:t>
      </w:r>
    </w:p>
    <w:p>
      <w:pPr>
        <w:spacing w:after="100"/>
      </w:pPr>
      <w:r>
        <w:t>Figure 5 presents the Saltelli Sobol global sensitivity analysis over the 8 parameter distributions detailed in Table 3, evaluated directly from data/sobol_indices_N1024.csv using SALib (N_base = 1024, N_eval = 10240, scrambled Sobol seed = 42, 95% bootstrap confidence intervals across 1000 resamples). For the apparent cloud point T_cloud^app (Fig. 5a), evaluated by executing the FH-VO cloud-point solver (monotone bracketing with Brent refinement, and smooth linear extrapolation when the root lies outside the 8.6-65 degC evaluation window) for every sample, the output variance is distributed across all six active parameters, with total-effect indices spanning only S_T = 0.13-0.25: the bulk-LCST calibration parameters thermal slope β (S_T = 0.25 ± 0.03) and critical temperature Tc (S_T = 0.21 ± 0.02) lead, and the interfacial coordinates adsorption free energy ΔG_ads (S_T = 0.20 ± 0.03) and area density a_s (S_T = 0.18 ± 0.03) contribute comparably, followed by effective chain length N_eff (S_T = 0.15 ± 0.02) and ionic strength I (S_T = 0.13 ± 0.02). First-order and total-effect indices are close for every parameter (Σ S_i ≈ 0.87 versus Σ S_T ≈ 1.12), so T_cloud^app responds to its inputs in a near-additive manner with only mild pairwise interaction. Crucially, the structurally inactive parameters η_eff (S_1 = 0.000 ± 0.000, S_T = 0.000 ± 0.000) and k_ext (S_1 = 0.000 ± 0.000, S_T = 0.000 ± 0.000) evaluate to exact mathematical zeros, confirming the absence of estimator bias. For fibrillation mass M_final (Fig. 5b), interfacial area density a_s (first-order S_i = 0.89 ± 0.07, total-effect S_T = 0.91 ± 0.06) and extraction rate k_ext (S_T = 0.12 ± 0.02) exert primary control, while pure thermodynamic parameters do not participate directly in the isolated droplet aging equations (S_1 = 0.000, S_T = 0.000). The model thus produces output-specific sensitivity partitions: bulk macromolecular thermodynamics and interfacial adsorption jointly set phase coexistence, whereas nanosheet area density and extraction kinetics alone govern fibrillation arrest. Note that the phenomenological gradient correlation length b is treated as an effective fixed geometric scale anchored to experimental Rh and is not part of the 8-parameter Sobol variance decomposition. The block analysis (Figs. 5c,d) shows a converged decomposition: between N_base = 256 and N_base = 1024 every total-effect index changes by less than 0.02 and every bootstrap confidence interval narrows monotonically, so the N_base = 1024 estimate is retained for quantitative interpretation.</w:t>
      </w:r>
    </w:p>
    <w:p>
      <w:pPr>
        <w:spacing w:before="120" w:after="60"/>
        <w:jc w:val="center"/>
      </w:pPr>
    </w:p>
    <w:p>
      <w:r>
        <w:drawing>
          <wp:inline xmlns:a="http://schemas.openxmlformats.org/drawingml/2006/main" xmlns:pic="http://schemas.openxmlformats.org/drawingml/2006/picture">
            <wp:extent cx="5669280" cy="3989493"/>
            <wp:docPr id="5" name="Picture 5"/>
            <wp:cNvGraphicFramePr>
              <a:graphicFrameLocks noChangeAspect="1"/>
            </wp:cNvGraphicFramePr>
            <a:graphic>
              <a:graphicData uri="http://schemas.openxmlformats.org/drawingml/2006/picture">
                <pic:pic>
                  <pic:nvPicPr>
                    <pic:cNvPr id="0" name="Figure_5_Sobol_Sensitivity_Analysis.png"/>
                    <pic:cNvPicPr/>
                  </pic:nvPicPr>
                  <pic:blipFill>
                    <a:blip r:embed="rId13"/>
                    <a:stretch>
                      <a:fillRect/>
                    </a:stretch>
                  </pic:blipFill>
                  <pic:spPr>
                    <a:xfrm>
                      <a:off x="0" y="0"/>
                      <a:ext cx="5669280" cy="3989493"/>
                    </a:xfrm>
                    <a:prstGeom prst="rect"/>
                  </pic:spPr>
                </pic:pic>
              </a:graphicData>
            </a:graphic>
          </wp:inline>
        </w:drawing>
      </w:r>
    </w:p>
    <w:p>
      <w:pPr>
        <w:spacing w:before="40" w:after="160"/>
      </w:pPr>
      <w:r>
        <w:rPr>
          <w:b/>
          <w:sz w:val="17"/>
        </w:rPr>
        <w:t xml:space="preserve">Figure 5. </w:t>
      </w:r>
      <w:r>
        <w:rPr>
          <w:sz w:val="17"/>
        </w:rPr>
        <w:t>Sobol global sensitivity and block convergence analysis dynamically read from data/sobol_indices_N1024.csv and data/sobol_convergence_N1024.csv. First-order (S_i) and total-effect (S_Ti) indices with 95% bootstrap confidence intervals for (a) apparent cloud point T_cloud^app (evaluated directly with the FH-VO cloud-point solver) and (b) fibrillation arrest M_final (evaluated directly via kinetic ODEs). (c,d) Block sensitivity trajectories S_Ti(N) across dyadic sub-block sample sizes N ∈ {128, 256, 512, 1024}; total-effect indices vary by less than 0.02 beyond N = 256 and every bootstrap confidence interval narrows monotonically toward the final N_base = 1024 estimate.</w:t>
      </w:r>
    </w:p>
    <w:p>
      <w:pPr>
        <w:spacing w:before="200" w:after="60"/>
      </w:pPr>
      <w:r>
        <w:rPr>
          <w:rFonts w:ascii="Arial" w:hAnsi="Arial"/>
          <w:b/>
          <w:sz w:val="21"/>
        </w:rPr>
        <w:t>2.6 Comparison with Recent Literature and Model Limitations</w:t>
      </w:r>
    </w:p>
    <w:p>
      <w:pPr>
        <w:spacing w:after="100"/>
      </w:pPr>
      <w:r>
        <w:t>Our model predictions are qualitatively consistent with recent biophysical findings on condensate interfaces [25-27].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Model limitations and domain of validity are explicitly stated: (i) This work is deliberately formulated as a predictive theoretical study. Bulk phase separation is parameterized against published Tau K18 turbidity measurements [5], whereas nanomaterial-dependent adsorption, wetting, and kinetic outputs are presented as prospective, falsifiable model-scenario predictions rather than direct experimental validation. (ii) Tau K18 is an experimentally well-characterized four-repeat domain construct containing the primary amyloidogenic motifs (R1-R4); extrapolation to full-length Tau (Tau-441), which incorporates large charged projection domains and distinct regulatory phosphorylation landscapes, will require independent parameterization. (iii) An effective coarse-grained order parameter description where φ_tilde represents lattice occupancy rather than atomistic coordinates. (iv) Implicit solvent treatment without explicit conformational dynamics. (v) An idealized non-cooperative Langmuir adsorption isotherm. (vi) Representation of borophene and MXene as idealized stable 2D nanosheets without explicit chemical oxidation or restacking kinetics. (vii) Omission of local surface-termination micro-heterogeneity. Future work combining all-atom MD with continuum phase-field modeling will provide atomistic resolution of the 2D 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with critical parameters (φ_c = 0.246, χ_c = 0.872)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Parameterized Critical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8.5 (281.65)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Parameterized to reproduce 100 µM cloud point = 15.3 °C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(0.246, 0.872)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0.0090</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Parameterized to experimental turbidity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Effective Gradient Correlation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Phenomenological length scale anchored to experimental Tau K18 hydrodynamic scale (Rh = 3.4 ± 0.6 nm) [31]</w:t>
            </w:r>
          </w:p>
        </w:tc>
      </w:tr>
      <w:tr>
        <w:tc>
          <w:tcPr>
            <w:tcW w:type="dxa" w:w="1872"/>
            <w:shd w:fill="F8FAFC"/>
            <w:tcMar>
              <w:top w:w="80" w:type="dxa"/>
              <w:bottom w:w="80" w:type="dxa"/>
              <w:left w:w="100" w:type="dxa"/>
              <w:right w:w="100" w:type="dxa"/>
            </w:tcMar>
          </w:tcPr>
          <w:p>
            <w:pPr>
              <w:spacing w:after="40" w:before="40"/>
            </w:pPr>
            <w:r>
              <w:rPr>
                <w:rFonts w:ascii="Arial" w:hAnsi="Arial"/>
                <w:sz w:val="17"/>
              </w:rPr>
              <w:t>Reference Volume Scale</w:t>
            </w:r>
          </w:p>
        </w:tc>
        <w:tc>
          <w:tcPr>
            <w:tcW w:type="dxa" w:w="1872"/>
            <w:shd w:fill="F8FAFC"/>
            <w:tcMar>
              <w:top w:w="80" w:type="dxa"/>
              <w:bottom w:w="80" w:type="dxa"/>
              <w:left w:w="100" w:type="dxa"/>
              <w:right w:w="100" w:type="dxa"/>
            </w:tcMar>
          </w:tcPr>
          <w:p>
            <w:pPr>
              <w:spacing w:after="40" w:before="40"/>
            </w:pPr>
            <w:r>
              <w:rPr>
                <w:rFonts w:ascii="Arial" w:hAnsi="Arial"/>
                <w:sz w:val="17"/>
              </w:rPr>
              <w:t>v_ref</w:t>
            </w:r>
          </w:p>
        </w:tc>
        <w:tc>
          <w:tcPr>
            <w:tcW w:type="dxa" w:w="1872"/>
            <w:shd w:fill="F8FAFC"/>
            <w:tcMar>
              <w:top w:w="80" w:type="dxa"/>
              <w:bottom w:w="80" w:type="dxa"/>
              <w:left w:w="100" w:type="dxa"/>
              <w:right w:w="100" w:type="dxa"/>
            </w:tcMar>
          </w:tcPr>
          <w:p>
            <w:pPr>
              <w:spacing w:after="40" w:before="40"/>
            </w:pPr>
            <w:r>
              <w:rPr>
                <w:rFonts w:ascii="Arial" w:hAnsi="Arial"/>
                <w:sz w:val="17"/>
              </w:rPr>
              <w:t>2.85×10⁻²⁵</w:t>
            </w:r>
          </w:p>
        </w:tc>
        <w:tc>
          <w:tcPr>
            <w:tcW w:type="dxa" w:w="1872"/>
            <w:shd w:fill="F8FAFC"/>
            <w:tcMar>
              <w:top w:w="80" w:type="dxa"/>
              <w:bottom w:w="80" w:type="dxa"/>
              <w:left w:w="100" w:type="dxa"/>
              <w:right w:w="100" w:type="dxa"/>
            </w:tcMar>
          </w:tcPr>
          <w:p>
            <w:pPr>
              <w:spacing w:after="40" w:before="40"/>
            </w:pPr>
            <w:r>
              <w:rPr>
                <w:rFonts w:ascii="Arial" w:hAnsi="Arial"/>
                <w:sz w:val="17"/>
              </w:rPr>
              <w:t>m³</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energy density volume (f_0 = 1.50×10⁴ J/m³)</w:t>
            </w:r>
          </w:p>
        </w:tc>
      </w:tr>
      <w:tr>
        <w:tc>
          <w:tcPr>
            <w:tcW w:type="dxa" w:w="1872"/>
            <w:tcMar>
              <w:top w:w="80" w:type="dxa"/>
              <w:bottom w:w="80" w:type="dxa"/>
              <w:left w:w="100" w:type="dxa"/>
              <w:right w:w="100" w:type="dxa"/>
            </w:tcMar>
          </w:tcPr>
          <w:p>
            <w:pPr>
              <w:spacing w:after="40" w:before="40"/>
            </w:pPr>
            <w:r>
              <w:rPr>
                <w:rFonts w:ascii="Arial" w:hAnsi="Arial"/>
                <w:sz w:val="17"/>
              </w:rPr>
              <w:t>Coupling Anchoring Factor</w:t>
            </w:r>
          </w:p>
        </w:tc>
        <w:tc>
          <w:tcPr>
            <w:tcW w:type="dxa" w:w="1872"/>
            <w:tcMar>
              <w:top w:w="80" w:type="dxa"/>
              <w:bottom w:w="80" w:type="dxa"/>
              <w:left w:w="100" w:type="dxa"/>
              <w:right w:w="100" w:type="dxa"/>
            </w:tcMar>
          </w:tcPr>
          <w:p>
            <w:pPr>
              <w:spacing w:after="40" w:before="40"/>
            </w:pPr>
            <w:r>
              <w:rPr>
                <w:rFonts w:ascii="Arial" w:hAnsi="Arial"/>
                <w:sz w:val="17"/>
              </w:rPr>
              <w:t>η_eff</w:t>
            </w:r>
          </w:p>
        </w:tc>
        <w:tc>
          <w:tcPr>
            <w:tcW w:type="dxa" w:w="1872"/>
            <w:tcMar>
              <w:top w:w="80" w:type="dxa"/>
              <w:bottom w:w="80" w:type="dxa"/>
              <w:left w:w="100" w:type="dxa"/>
              <w:right w:w="100" w:type="dxa"/>
            </w:tcMar>
          </w:tcPr>
          <w:p>
            <w:pPr>
              <w:spacing w:after="40" w:before="40"/>
            </w:pPr>
            <w:r>
              <w:rPr>
                <w:rFonts w:ascii="Arial" w:hAnsi="Arial"/>
                <w:sz w:val="17"/>
              </w:rPr>
              <w:t>0.20×10⁻³</w:t>
            </w:r>
          </w:p>
        </w:tc>
        <w:tc>
          <w:tcPr>
            <w:tcW w:type="dxa" w:w="1872"/>
            <w:tcMar>
              <w:top w:w="80" w:type="dxa"/>
              <w:bottom w:w="80" w:type="dxa"/>
              <w:left w:w="100" w:type="dxa"/>
              <w:right w:w="100" w:type="dxa"/>
            </w:tcMar>
          </w:tcPr>
          <w:p>
            <w:pPr>
              <w:spacing w:after="40" w:before="40"/>
            </w:pPr>
            <w:r>
              <w:rPr>
                <w:rFonts w:ascii="Arial" w:hAnsi="Arial"/>
                <w:sz w:val="17"/>
              </w:rPr>
              <w:t>—</w:t>
            </w:r>
          </w:p>
        </w:tc>
        <w:tc>
          <w:tcPr>
            <w:tcW w:type="dxa" w:w="1872"/>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Representative parameter scenarios for aqueous-stabilized borophene nanoflakes and Ti3C2Tx MXene were informed by audited literature sources and geometric model estimates, as summarized in Table 2. We stress that the adsorption free energies (ΔG_ads = -7.8 and -5.2 kcal/mol) are not experimentally measured Tau-nanosheet binding enthalpies: no such data exist. They are order-of-magnitude plausibility anchors chosen so that the borophene-like case sits in the strong-physisorption regime reported for peptide and protein-corona interactions with borophene (Han et al. [12]) and the MXene-like case in the weaker regime computed for amino-acid adsorption on Ti3C2Tx (Gouveia et al. [29]). The framework is deliberately parameterized so that a_s and ΔG_ads span a continuous design space (Table 3, Fig. 3); the two named materials are illustrative points within it, and every material-dependent output is presented as a falsifiable prediction rather than a validated result.</w:t>
      </w:r>
    </w:p>
    <w:p>
      <w:pPr>
        <w:spacing w:after="60"/>
      </w:pPr>
      <w:r>
        <w:rPr>
          <w:b/>
          <w:sz w:val="18"/>
        </w:rPr>
        <w:t>Table 2. Representative scenario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1.023 µN/m</w:t>
            </w:r>
          </w:p>
        </w:tc>
        <w:tc>
          <w:tcPr>
            <w:tcW w:type="dxa" w:w="1872"/>
            <w:shd w:fill="F8FAFC"/>
            <w:tcMar>
              <w:top w:w="80" w:type="dxa"/>
              <w:bottom w:w="80" w:type="dxa"/>
              <w:left w:w="100" w:type="dxa"/>
              <w:right w:w="100" w:type="dxa"/>
            </w:tcMar>
          </w:tcPr>
          <w:p>
            <w:pPr>
              <w:spacing w:after="40" w:before="40"/>
            </w:pPr>
            <w:r>
              <w:rPr>
                <w:rFonts w:ascii="Arial" w:hAnsi="Arial"/>
                <w:sz w:val="17"/>
              </w:rPr>
              <w:t>0.296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Langmuir grand potential: Eq. 4</w:t>
            </w:r>
          </w:p>
        </w:tc>
      </w:tr>
      <w:tr>
        <w:tc>
          <w:tcPr>
            <w:tcW w:type="dxa" w:w="1872"/>
            <w:tcMar>
              <w:top w:w="80" w:type="dxa"/>
              <w:bottom w:w="80" w:type="dxa"/>
              <w:left w:w="100" w:type="dxa"/>
              <w:right w:w="100" w:type="dxa"/>
            </w:tcMar>
          </w:tcPr>
          <w:p>
            <w:pPr>
              <w:spacing w:after="40" w:before="40"/>
            </w:pPr>
            <w:r>
              <w:rPr>
                <w:rFonts w:ascii="Arial" w:hAnsi="Arial"/>
                <w:sz w:val="17"/>
              </w:rPr>
              <w:t>Contact Angle (37°C)</w:t>
            </w:r>
          </w:p>
        </w:tc>
        <w:tc>
          <w:tcPr>
            <w:tcW w:type="dxa" w:w="1872"/>
            <w:tcMar>
              <w:top w:w="80" w:type="dxa"/>
              <w:bottom w:w="80" w:type="dxa"/>
              <w:left w:w="100" w:type="dxa"/>
              <w:right w:w="100" w:type="dxa"/>
            </w:tcMar>
          </w:tcPr>
          <w:p>
            <w:pPr>
              <w:spacing w:after="40" w:before="40"/>
            </w:pPr>
            <w:r>
              <w:rPr>
                <w:rFonts w:ascii="Arial" w:hAnsi="Arial"/>
                <w:sz w:val="17"/>
              </w:rPr>
              <w:t>θ_c</w:t>
            </w:r>
          </w:p>
        </w:tc>
        <w:tc>
          <w:tcPr>
            <w:tcW w:type="dxa" w:w="1872"/>
            <w:tcMar>
              <w:top w:w="80" w:type="dxa"/>
              <w:bottom w:w="80" w:type="dxa"/>
              <w:left w:w="100" w:type="dxa"/>
              <w:right w:w="100" w:type="dxa"/>
            </w:tcMar>
          </w:tcPr>
          <w:p>
            <w:pPr>
              <w:spacing w:after="40" w:before="40"/>
            </w:pPr>
            <w:r>
              <w:rPr>
                <w:rFonts w:ascii="Arial" w:hAnsi="Arial"/>
                <w:sz w:val="17"/>
              </w:rPr>
              <w:t>50.3°</w:t>
            </w:r>
          </w:p>
        </w:tc>
        <w:tc>
          <w:tcPr>
            <w:tcW w:type="dxa" w:w="1872"/>
            <w:tcMar>
              <w:top w:w="80" w:type="dxa"/>
              <w:bottom w:w="80" w:type="dxa"/>
              <w:left w:w="100" w:type="dxa"/>
              <w:right w:w="100" w:type="dxa"/>
            </w:tcMar>
          </w:tcPr>
          <w:p>
            <w:pPr>
              <w:spacing w:after="40" w:before="40"/>
            </w:pPr>
            <w:r>
              <w:rPr>
                <w:rFonts w:ascii="Arial" w:hAnsi="Arial"/>
                <w:sz w:val="17"/>
              </w:rPr>
              <w:t>79.3°</w:t>
            </w:r>
          </w:p>
        </w:tc>
        <w:tc>
          <w:tcPr>
            <w:tcW w:type="dxa" w:w="1872"/>
            <w:tcMar>
              <w:top w:w="80" w:type="dxa"/>
              <w:bottom w:w="80" w:type="dxa"/>
              <w:left w:w="100" w:type="dxa"/>
              <w:right w:w="100" w:type="dxa"/>
            </w:tcMar>
          </w:tcPr>
          <w:p>
            <w:pPr>
              <w:spacing w:after="40" w:before="40"/>
            </w:pPr>
            <w:r>
              <w:rPr>
                <w:rFonts w:ascii="Arial" w:hAnsi="Arial"/>
                <w:sz w:val="17"/>
              </w:rPr>
              <w:t>Young's equation closure: cos(θ_c) = Δγ_s / γ_LL</w:t>
            </w:r>
          </w:p>
        </w:tc>
      </w:tr>
      <w:tr>
        <w:tc>
          <w:tcPr>
            <w:tcW w:type="dxa" w:w="1872"/>
            <w:shd w:fill="F8FAFC"/>
            <w:tcMar>
              <w:top w:w="80" w:type="dxa"/>
              <w:bottom w:w="80" w:type="dxa"/>
              <w:left w:w="100" w:type="dxa"/>
              <w:right w:w="100" w:type="dxa"/>
            </w:tcMar>
          </w:tcPr>
          <w:p>
            <w:pPr>
              <w:spacing w:after="40" w:before="40"/>
            </w:pPr>
            <w:r>
              <w:rPr>
                <w:rFonts w:ascii="Arial" w:hAnsi="Arial"/>
                <w:sz w:val="17"/>
              </w:rPr>
              <w:t>Extraction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k_ext</w:t>
            </w:r>
          </w:p>
        </w:tc>
        <w:tc>
          <w:tcPr>
            <w:tcW w:type="dxa" w:w="1872"/>
            <w:shd w:fill="F8FAFC"/>
            <w:tcMar>
              <w:top w:w="80" w:type="dxa"/>
              <w:bottom w:w="80" w:type="dxa"/>
              <w:left w:w="100" w:type="dxa"/>
              <w:right w:w="100" w:type="dxa"/>
            </w:tcMar>
          </w:tcPr>
          <w:p>
            <w:pPr>
              <w:spacing w:after="40" w:before="40"/>
            </w:pPr>
            <w:r>
              <w:rPr>
                <w:rFonts w:ascii="Arial" w:hAnsi="Arial"/>
                <w:sz w:val="17"/>
              </w:rPr>
              <w:t>1.25 h⁻¹</w:t>
            </w:r>
          </w:p>
        </w:tc>
        <w:tc>
          <w:tcPr>
            <w:tcW w:type="dxa" w:w="1872"/>
            <w:shd w:fill="F8FAFC"/>
            <w:tcMar>
              <w:top w:w="80" w:type="dxa"/>
              <w:bottom w:w="80" w:type="dxa"/>
              <w:left w:w="100" w:type="dxa"/>
              <w:right w:w="100" w:type="dxa"/>
            </w:tcMar>
          </w:tcPr>
          <w:p>
            <w:pPr>
              <w:spacing w:after="40" w:before="40"/>
            </w:pPr>
            <w:r>
              <w:rPr>
                <w:rFonts w:ascii="Arial" w:hAnsi="Arial"/>
                <w:sz w:val="17"/>
              </w:rPr>
              <w:t>0.75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tcMar>
              <w:top w:w="80" w:type="dxa"/>
              <w:bottom w:w="80" w:type="dxa"/>
              <w:left w:w="100" w:type="dxa"/>
              <w:right w:w="100" w:type="dxa"/>
            </w:tcMar>
          </w:tcPr>
          <w:p>
            <w:pPr>
              <w:spacing w:after="40" w:before="40"/>
            </w:pPr>
            <w:r>
              <w:rPr>
                <w:rFonts w:ascii="Arial" w:hAnsi="Arial"/>
                <w:sz w:val="17"/>
              </w:rPr>
              <w:t>Desorption Rate Constant</w:t>
            </w:r>
          </w:p>
        </w:tc>
        <w:tc>
          <w:tcPr>
            <w:tcW w:type="dxa" w:w="1872"/>
            <w:tcMar>
              <w:top w:w="80" w:type="dxa"/>
              <w:bottom w:w="80" w:type="dxa"/>
              <w:left w:w="100" w:type="dxa"/>
              <w:right w:w="100" w:type="dxa"/>
            </w:tcMar>
          </w:tcPr>
          <w:p>
            <w:pPr>
              <w:spacing w:after="40" w:before="40"/>
            </w:pPr>
            <w:r>
              <w:rPr>
                <w:rFonts w:ascii="Arial" w:hAnsi="Arial"/>
                <w:sz w:val="17"/>
              </w:rPr>
              <w:t>k_des</w:t>
            </w:r>
          </w:p>
        </w:tc>
        <w:tc>
          <w:tcPr>
            <w:tcW w:type="dxa" w:w="1872"/>
            <w:tcMar>
              <w:top w:w="80" w:type="dxa"/>
              <w:bottom w:w="80" w:type="dxa"/>
              <w:left w:w="100" w:type="dxa"/>
              <w:right w:w="100" w:type="dxa"/>
            </w:tcMar>
          </w:tcPr>
          <w:p>
            <w:pPr>
              <w:spacing w:after="40" w:before="40"/>
            </w:pPr>
            <w:r>
              <w:rPr>
                <w:rFonts w:ascii="Arial" w:hAnsi="Arial"/>
                <w:sz w:val="17"/>
              </w:rPr>
              <w:t>0.04 h⁻¹</w:t>
            </w:r>
          </w:p>
        </w:tc>
        <w:tc>
          <w:tcPr>
            <w:tcW w:type="dxa" w:w="1872"/>
            <w:tcMar>
              <w:top w:w="80" w:type="dxa"/>
              <w:bottom w:w="80" w:type="dxa"/>
              <w:left w:w="100" w:type="dxa"/>
              <w:right w:w="100" w:type="dxa"/>
            </w:tcMar>
          </w:tcPr>
          <w:p>
            <w:pPr>
              <w:spacing w:after="40" w:before="40"/>
            </w:pPr>
            <w:r>
              <w:rPr>
                <w:rFonts w:ascii="Arial" w:hAnsi="Arial"/>
                <w:sz w:val="17"/>
              </w:rPr>
              <w:t>0.12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c_max_ads = (a_s Γ_max 10³⁰ / N_A)      [µM]</w:t>
      </w:r>
    </w:p>
    <w:p>
      <w:pPr>
        <w:spacing w:before="60" w:after="100"/>
        <w:jc w:val="center"/>
      </w:pPr>
      <w:r>
        <w:rPr>
          <w:rFonts w:ascii="Arial" w:hAnsi="Arial"/>
          <w:i/>
          <w:sz w:val="19"/>
        </w:rPr>
        <w:t>m_tilde_max = s_phi c_max_ads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Contact angles are conditional on η_eff. Young's equation then gives the contact angle:</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500 draws, seed = 42) sampling normal distributions of ΔG_ads (±0.5 kcal/mol) and η_eff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10³⁰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Variance-based global sensitivity analysis was performed over the 8 parameter distributions detailed in Table 3 (D = 8) using SALib (v1.5) under the Saltelli extension of the Sobol low-discrepancy sequence [90,91]. A scrambled quasi-random Sobol sequence of base sample size N_base = 1024 was generated with a declared pseudo-random seed (seed = 42). Without second-order cross terms (calc_second_order = False), the radial design generates N_eval = N_base × (D + 2) = 10240 total physical model evaluations, evaluated directly through the FH-VO cloud-point solver for T_cloud^app (a monotone bracketing scan with Brent refinement inside the Tc-to-65 °C window, and a smooth linear extrapolation of the coexistence residual g(T) when the root lies outside it, so the sensitivity response contains no clamp-induced discontinuity) and the mass-conserving kinetic master equations for M_final. First-order indices S_i and total-effect indices S_Ti were calculated using the standard Saltelli et al. (2010) estimators: S_i = ⟨B(AB_i - A)⟩ / V(Y) and S_Ti = (1/2) ⟨(A - AB_i)²⟩ / V(Y). Confidence intervals at the 95% level were computed via 1000 bootstrap resamples. Numerical convergence was strictly computed from the nested dyadic sub-blocks N ∈ {128, 256, 512, 1024} without empirical interpolation or fitting.</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0.015]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Parameterized Critical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[275.15, 287.15]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for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0.35]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Conclusions</w:t>
      </w:r>
    </w:p>
    <w:p>
      <w:pPr>
        <w:spacing w:after="100"/>
      </w:pPr>
      <w:r>
        <w:t>In this study, we developed a unified statistical-thermodynamic and kinetic framework coupling Flory-Huggins-Voorn-Overbeek polymer theory, Langmuir interfacial adsorption mass balance, Cahn-Hilliard wetting theory, and mass-conserving master equations to elucidate the physical mechanisms governing Tau condensate modulation by 2D nanomaterial interfaces. The core theoretical insight is that 2D interface-mediated phase suppression operates through area-density-driven monomer sequestration that shifts the apparent bulk state point without altering intrinsic macromolecular interaction energetics (∂χ/∂a_s = 0). This mass-balance mechanism offers a general soft-matter explanation for how high-surface-area nanosheets can alter biomolecular condensation thresholds.</w:t>
      </w:r>
    </w:p>
    <w:p>
      <w:pPr>
        <w:spacing w:after="100"/>
      </w:pPr>
      <w:r>
        <w:t>By mapping the interfacial parameter landscape, we demonstrated that the physical outcome is governed continuously by the interfacial area density a_s and the standard adsorption free energy ΔG_ads. The literature-informed borophene-like and MXene-like scenarios serve as illustrative physical archetypes: high-affinity biointerfaces (ΔG_ads ≈ -7.8 kcal/mol) can fully dissolve condensates across physiological and room temperatures and deplete ~60% of free monomers at 37 °C, whereas moderate-affinity interfaces (ΔG_ads ≈ -5.2 kcal/mol) produce only partial depletion, leaving stable condensates intact. Furthermore, under fixed aggregation rate laws, interfacial extraction extends the lag time of autocatalytic secondary nucleation and arrests overall fibril accumulation.</w:t>
      </w:r>
    </w:p>
    <w:p>
      <w:pPr>
        <w:spacing w:after="100"/>
      </w:pPr>
      <w:r>
        <w:t>Importantly, our framework establishes quantitative, prospectively falsifiable predictions for future experimental studies: (1) In spectroturbidimetric cloud-point assays of Tau K18, the upward shift in T_cloud^app should scale linearly with total accessible nanomaterial surface area (a_s = SSA · C_nano), meaning that heavily restacked materials with lower BET areas will require proportionally higher mass loadings to achieve equivalent phase dissolution. (2) Sessile condensate droplet contact angle goniometry on passivated 2D substrates should reveal partial wetting regimes (θ_c ≈ 50°–80°) governed by the balance between capillary tension (γ_LL ≈ 1.6 µN/m) and adsorption grand potential excess. (3) In time-resolved ThT fluorescence kinetics, 2D nanosheet addition should retard the secondary nucleation lag phase without altering the characteristic fibril elongation rate.</w:t>
      </w:r>
    </w:p>
    <w:p>
      <w:pPr>
        <w:spacing w:before="280" w:after="80"/>
      </w:pPr>
      <w:r>
        <w:rPr>
          <w:rFonts w:ascii="Arial" w:hAnsi="Arial"/>
          <w:b/>
          <w:sz w:val="25"/>
        </w:rPr>
        <w:t>Author Contributions</w:t>
      </w:r>
    </w:p>
    <w:p>
      <w:pPr>
        <w:spacing w:after="100"/>
      </w:pPr>
      <w:r>
        <w:t>A.M.H.: Conceptualization, Methodology, Formal analysis, Software, Investigation, Writing – original draft. J.M.M.B.: Methodology, Validation, Writing – review &amp; editing. S.L.F.A.: Investigation, Data curation, Validation, Writing – review &amp; editing. C.I.M.O.: Formal analysis, Supervision, Validation, Writing – review &amp; editing. All authors read and approved the final manuscript.</w:t>
      </w:r>
    </w:p>
    <w:p>
      <w:pPr>
        <w:spacing w:before="280" w:after="80"/>
      </w:pPr>
      <w:r>
        <w:rPr>
          <w:rFonts w:ascii="Arial" w:hAnsi="Arial"/>
          <w:b/>
          <w:sz w:val="25"/>
        </w:rPr>
        <w:t>Conflicts of Interest</w:t>
      </w:r>
    </w:p>
    <w:p>
      <w:pPr>
        <w:spacing w:after="100"/>
      </w:pPr>
      <w:r>
        <w:t>There are no conflicts to declare.</w:t>
      </w:r>
    </w:p>
    <w:p>
      <w:pPr>
        <w:spacing w:before="280" w:after="80"/>
      </w:pPr>
      <w:r>
        <w:rPr>
          <w:rFonts w:ascii="Arial" w:hAnsi="Arial"/>
          <w:b/>
          <w:sz w:val="25"/>
        </w:rPr>
        <w:t>Data and Code Availability</w:t>
      </w:r>
    </w:p>
    <w:p>
      <w:pPr>
        <w:spacing w:after="100"/>
      </w:pPr>
      <w:r>
        <w:t>All simulation scripts, thermodynamic root solvers, kinetic master equation integrators, digitized experimental literature data, and unit test suites are openly available in the project GitHub repository (https://github.com/sircalch/llps-tau-2d-nanomaterials) under the MIT License and supported by automated continuous integration. The exact version reported here is permanently archived on Zenodo: https://doi.org/10.5281/zenodo.22268507 (release v1.0.1). Running python run_pipeline.py regenerates the full unit-test suite, every figure, this manuscript, and the cover letter from source.</w:t>
      </w:r>
    </w:p>
    <w:p>
      <w:pPr>
        <w:spacing w:before="280" w:after="80"/>
      </w:pPr>
      <w:r>
        <w:rPr>
          <w:rFonts w:ascii="Arial" w:hAnsi="Arial"/>
          <w:b/>
          <w:sz w:val="25"/>
        </w:rPr>
        <w:t>Acknowledgements</w:t>
      </w:r>
    </w:p>
    <w:p>
      <w:pPr>
        <w:spacing w:after="100"/>
      </w:pPr>
      <w:r>
        <w:t>The authors acknowledge financial and infrastructural support from Universidad Estatal de Sonora (UES) and Universidad de Sonora (UNISON). Generative AI Disclosure: during the preparation of this computational study, generative AI assistance (OpenAI Codex / Anthropic Claude / Google Gemini) was used for code review, unit-test generation, and manuscript formatting; all mathematical models, numerical simulations, physical interpretations, and bibliographic citations were independently verified and finalized under full author responsibility. All figures, including the graphical abstract, were produced deterministically from the authors' own Python (matplotlib) code and contain no AI-generated imagery.</w:t>
      </w:r>
    </w:p>
    <w:p>
      <w:pPr>
        <w:spacing w:before="280" w:after="80"/>
      </w:pPr>
      <w:r>
        <w:rPr>
          <w:rFonts w:ascii="Arial" w:hAnsi="Arial"/>
          <w:b/>
          <w:sz w:val="25"/>
        </w:rPr>
        <w:t>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Annoni, P.; Azzini, I.; Campolongo, F.; Ratto, M.; Tarantola, S. Variance based sensitivity analysis of model output. Design and estimator for the total sensitivity index. Comput. Phys. Commun. 2010, 181, 259–270.</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Stelzl, L. S.; Pietrek, L. M.; Holla, A.; Oroz, J.; Sikora, M.; Köfinger, J.; Schuler, B.; Zweckstetter, M.; Hummer, G. Conformational Ensembles of the Human Tau Protein to Assess Its Function and Pathological Aggregation. JACS Au 2022, 2, 673–686.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