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subcellular compartmentalization, yet dense condensates risk undergoing pathological cross-β amyloid transitions. Here, we establish a physics-based, coarse-grained statistical-thermodynamic and kinetic framework combining Flory-Huggins-Voorn-Overbeek (FH-VO) polymer theory with Langmuir interfacial adsorption, Cahn-Hilliard wetting theory, and mass-conserving master equations to investigate how two-dimensional (2D) nanomaterial biointerfaces modulate Tau LLPS and condensate aging. Calibrated against the experimental Lower Critical Solution Temperature (LCST) turbidity onset of Tau K18 (15.3 °C at 100 µM), the model demonstrates that 2D interface-mediated LLPS suppression emerges self-consistently from interfacial monomer sequestration governed by area density a_s (without empirical alterations to the intrinsic Flory parameter, ∂χ/∂a_s = 0). Using literature-informed representative parameter scenarios, a high-affinity borophene-like scenario (ΔG_ads = -7.8 kcal/mol, contact angle θ_c = 50.3°) shifts the apparent cloud point to 29.4 °C at a_s = 1.0×10⁻⁴ nm⁻¹, dissolving condensates across room and sub-physiological temperatures and depleting ~60% free monomer at 37 °C. In contrast, a moderate-affinity Ti3C2Tx MXene-like scenario (ΔG_ads = -5.2 kcal/mol, θ_c = 79.3°) produces modest depletion, maintaining stable droplet coexistence. Within a kinetic formulation that holds the intrinsic aggregation rate-law structure fixed, interfacial sequestration delays secondary-nucleation-driven aging. Global sensitivity analysis confirms that thermal slope β, ionic strength I, and segment length N_eff form an overlapping thermodynamic cluster controlling coexistence, while area density a_s and extraction rate k_ext govern fibrillation arrest.</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 Under physiological conditions, the microtubule-associated protein Tau undergoes LLPS driven by electrostatic and hydrophobic interactions [5,6]. However, the high local protein density inside condensates (10- to 100-fold higher than in the dilute bulk phase) dramatically accelerates primary and secondary nucleation of cross-β amyloid fibrils, promoting an aberrant liquid-to-solid phase transition associated with neurodegenerative tauopathies [5,6,18,19].</w:t>
      </w:r>
    </w:p>
    <w:p>
      <w:pPr>
        <w:spacing w:after="100"/>
      </w:pPr>
      <w:r>
        <w:t>Recent experimental studies have shown that biomolecular condensates interact actively with physical boundaries, displaying rich wetting, spreading, and interfacial anchoring phenomena on lipid membranes and nanomaterials [14-16,27].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extraordinary platforms with ultra-high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has remained lacking. In this study, we formulate a statistical-thermodynamic and kinetic framework where 2D interface-driven LLPS modulation emerges from explicit adsorption mass balance rather than from an imposed nanosheet-dependent modification of the intrinsic Flory interaction parameter.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global variance-based sensitivity analysis of the model parameters.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[5], driven by the hydrophobic desolvation entropy of repeat domain hexapeptide motifs (VQIVYK in R3 and VQIINK in R2) [5]. The FH-VO model, with critical parameters solved numerically from the full free energy functional (f''(φ_c) = 0 and f'''(φ_c) = 0, yielding φ_c = 0.246, χ_c = 0.872), is parameterized with critical temperature Tc = 8.5 °C (281.65 K) and thermal slope β = 0.0090 K⁻¹. Under this parameterization, the theoretical cloud point for nominal 100 µM Tau K18 (order parameter φ_tilde_total = 0.095) evaluates to T_cloud = 15.3 °C via Brent root solving, consistent with the reported ~15 °C turbidity onset in Figure 2b of Ambadipudi et al. (Nat. Commun. 2017) (Fig. 1a, inset).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interfaces. The fundamental governing coordinate of the theoretical framework is the interfacial area density a_s.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the literature-informed borophene-like scenario (Scenario 1, ΔG_ads = -7.8 kcal/mol) at a_s = 1.0×10⁻⁴ nm⁻¹ (which corresponds to C_nano = 100 µg/mL only under an illustrative reference conversion assuming an idealized monolayer-accessible specific surface area SSA = 1000 m²/g), free monomer concentration drops by nearly 60% to c_free ≈ 41.4 µM, shifting the apparent cloud point to 29.4 °C and dissolving the condensate at temperatures below 29.4 °C. In contrast, the Ti3C2Tx MXene-like scenario (Scenario 2, ΔG_ads = -5.2 kcal/mol), exhibiting weaker adsorption affinity, produces only partial depletion (c_free ≈ 87.6 µM at a_s = 1.0×10⁻⁴ nm⁻¹), maintaining droplets stable across this area density range at 37 °C. Notably, for multilayered nanomaterials subject to restacking with lower accessible BET surface areas (10–100 m²/g), equivalent a_s values would require correspondingly higher mass loadings.</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interfacial area density a_s (with top axis showing illustrative reference loading C_nano for SSA = 1000 m²/g) at 37 °C, demonstrating strong depletion for the borophene-like scenario vs partial depletion for the MXene-like scenario.</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showing that moderate ionic strength maintains condensate stability, while elevated salt screens electrostatic interactions, reducing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the stabilized borophene-like scenario, the solid-liquid surface energy excess evaluates to Δγ_s = 1.023 µN/m (derived directly from the Langmuir surface grand potential with η_eff = 0.20×10⁻³ and standard activity a = c/c°), yielding cos(θ_c) = 1.023 / 1.601 = 0.639 and θ_c = 50.3° at 37 °C. For the Ti3C2Tx MXene-like scenario,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the stabilized borophene-like scenario (red star, Δγ_s = 1.02 µN/m, θ_c = 50.3°) and Ti3C2Tx MXene-like scenario (blue diamond, Δγ_s = 0.30 µN/m, θ_c = 79.3°) at 37 °C are indicated.</w:t>
      </w:r>
    </w:p>
    <w:p>
      <w:pPr>
        <w:spacing w:before="200" w:after="60"/>
      </w:pPr>
      <w:r>
        <w:rPr>
          <w:rFonts w:ascii="Arial" w:hAnsi="Arial"/>
          <w:b/>
          <w:sz w:val="21"/>
        </w:rPr>
        <w:t>2.3 Material-Specific Differentiation: Borophene-like vs MXene-like Representative Scenarios</w:t>
      </w:r>
    </w:p>
    <w:p>
      <w:pPr>
        <w:spacing w:after="100"/>
      </w:pPr>
      <w:r>
        <w:t>Figure 3 compares the quantitative performance of the literature-informed borophene-like and MXene-like representative scenarios across interfacial area density a_s ∈ [0, 1.0×10⁻⁴] nm⁻¹ (shown alongside the illustrative reference loading C_nano ∈ [0, 100] µg/mL for SSA = 1000 m²/g). The apparent cloud point T_cloud^app (Fig. 3a) was determined by solving the true thermodynamic binodal root φ_tilde_free(T, a_s) = φ_tilde_dilute(T) via Brent's method. For the borophene-like scenario, T_cloud^app shifts from 15.3 °C (control) up to 29.4 °C at a_s = 1.0×10⁻⁴ nm⁻¹, demonstrating a +14.1 °C thermal stabilization of the mixed state. For the MXene-like scenario, T_cloud^app increases modestly from 15.3 °C to 17.8 °C (+2.5 °C). Continuous wetting angles θ_c(T) across 15–50 °C with Monte Carlo 95% confidence intervals (Fig. 3b) remain in the partial wetting regime for both scenarios,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3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Quantitative comparison between literature-informed borophene-like and MXene-like representative scenarios. (a) True thermodynamic apparent cloud-point temperature T_cloud^app vs interfacial area density a_s solved via Brent's method (with illustrative C_nano scale).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a_s = 0 nm⁻¹, Fig. 4a), high local monomer concentration triggers autocatalytic secondary nucleation, converting 60% of the initial monomer pool into solid fibrils within 12 hours (τ_lag = 2.73 h). In the presence of 2D nanosheets (Fig. 4b,c), interfacial monomer extraction depletes the liquid monomer fraction φ_dense(t), extending the solidification lag time to 2.97 h at a_s = 1.0×10⁻⁴ nm⁻¹ (Fig. 4d) and reducing final fibril mass to 0.570. We explicitly emphasize that this kinetic module is a prospective normalized amyloid-aging model, as spontaneous fibrillation of pure Tau K18 without polyanionic cofactors (such as heparin) proceeds at slower basal rates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4_Condensate_Aging_Kinetics.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interfacial area density a_s across [0, 1.0×10⁻⁴] nm⁻¹ (with illustrative reference loading C_nano ∈ [0, 100] µg/mL).</w:t>
      </w:r>
    </w:p>
    <w:p>
      <w:pPr>
        <w:spacing w:before="200" w:after="60"/>
      </w:pPr>
      <w:r>
        <w:rPr>
          <w:rFonts w:ascii="Arial" w:hAnsi="Arial"/>
          <w:b/>
          <w:sz w:val="21"/>
        </w:rPr>
        <w:t>2.5 Global Sensitivity and Convergence Analysis</w:t>
      </w:r>
    </w:p>
    <w:p>
      <w:pPr>
        <w:spacing w:after="100"/>
      </w:pPr>
      <w:r>
        <w:t>Figure 5 presents the Saltelli Sobol global sensitivity analysis over the 8 parameter distributions detailed in Table 3, evaluated directly from data/sobol_indices_N512.csv using SALib (N_base = 512, N_eval = 5120, scrambled Sobol seed = 42, 95% bootstrap confidence intervals across 1000 resamples). For the apparent cloud point T_cloud^app (Fig. 5a), evaluated by directly executing the FH-VO Brent root solver for every sample, thermal LCST slope β (S_T = 0.56 ± 0.18), ionic strength I (S_T = 0.51 ± 0.18), and effective chain length N_eff (S_T = 0.47 ± 0.17) form a dominant, overlapping thermodynamic parameter cluster, followed by critical temperature Tc (S_T = 0.28 ± 0.13), with modest contributions from adsorption free energy ΔG_ads (S_T = 0.10 ± 0.03) and interfacial area density a_s (S_T = 0.08 ± 0.02). Crucially, the structurally inactive parameters η_eff (S_1 = 0.000 ± 0.000, S_T = 0.000 ± 0.000) and k_ext (S_1 = 0.000 ± 0.000, S_T = 0.000 ± 0.000) evaluate to exact mathematical zeros, confirming the absence of estimator bias. For fibrillation mass M_final (Fig. 5b), interfacial area density a_s (first-order S_i = 0.89 ± 0.10, total-effect S_T = 0.91 ± 0.09) and extraction rate k_ext (S_T = 0.12 ± 0.03) exert primary control, while pure thermodynamic parameters do not participate directly in the isolated droplet aging equations (S_1 = 0.000, S_T = 0.000). The model thus produces output-specific sensitivity partitions: macromolecular thermodynamics dictates phase coexistence, whereas nanosheet area density and extraction kinetics govern fibrillation arrest. Note that the phenomenological gradient correlation length b is treated as an effective fixed geometric scale anchored to experimental Rh and is not part of the 8-parameter Sobol variance decomposition. The block analysis (Figs. 5c,d) showed progressive stabilization of the dominant total-effect indices and narrowing bootstrap confidence intervals with increasing N_base; therefore, the highest-resolution estimate at N_base = 512 was retained for quantitative interpretation.</w:t>
      </w:r>
    </w:p>
    <w:p>
      <w:pPr>
        <w:spacing w:before="120" w:after="60"/>
        <w:jc w:val="center"/>
      </w:pPr>
    </w:p>
    <w:p>
      <w:r>
        <w:drawing>
          <wp:inline xmlns:a="http://schemas.openxmlformats.org/drawingml/2006/main" xmlns:pic="http://schemas.openxmlformats.org/drawingml/2006/picture">
            <wp:extent cx="5669280" cy="3989493"/>
            <wp:docPr id="5" name="Picture 5"/>
            <wp:cNvGraphicFramePr>
              <a:graphicFrameLocks noChangeAspect="1"/>
            </wp:cNvGraphicFramePr>
            <a:graphic>
              <a:graphicData uri="http://schemas.openxmlformats.org/drawingml/2006/picture">
                <pic:pic>
                  <pic:nvPicPr>
                    <pic:cNvPr id="0" name="Figure_5_Sobol_Sensitivity_Analysis.png"/>
                    <pic:cNvPicPr/>
                  </pic:nvPicPr>
                  <pic:blipFill>
                    <a:blip r:embed="rId13"/>
                    <a:stretch>
                      <a:fillRect/>
                    </a:stretch>
                  </pic:blipFill>
                  <pic:spPr>
                    <a:xfrm>
                      <a:off x="0" y="0"/>
                      <a:ext cx="5669280" cy="3989493"/>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data/sobol_indices_N512.csv and data/sobol_convergence_N512.csv. First-order (S_i) and total-effect (S_Ti) indices with 95% bootstrap confidence intervals for (a) apparent cloud point T_cloud^app (evaluated directly with FH-VO Brent root solver) and (b) fibrillation arrest M_final (evaluated directly via kinetic ODEs). (c,d) Block sensitivity trajectories S_Ti(N) across dyadic sub-block sample sizes N ∈ {64, 128, 256, 512} showing progressive stabilization of total-effect indices and narrowing bootstrap confidence intervals toward the final N_base = 512 estimate.</w:t>
      </w:r>
    </w:p>
    <w:p>
      <w:pPr>
        <w:spacing w:before="200" w:after="60"/>
      </w:pPr>
      <w:r>
        <w:rPr>
          <w:rFonts w:ascii="Arial" w:hAnsi="Arial"/>
          <w:b/>
          <w:sz w:val="21"/>
        </w:rPr>
        <w:t>2.6 Comparison with Recent Literature and Model Limitations</w:t>
      </w:r>
    </w:p>
    <w:p>
      <w:pPr>
        <w:spacing w:after="100"/>
      </w:pPr>
      <w:r>
        <w:t>Our model predictions are qualitatively consistent with recent biophysical findings on condensate interfaces [25-27].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Model limitations and domain of validity are explicitly stated: (i) This work is deliberately formulated as a predictive theoretical study. Bulk phase separation is parameterized against published Tau K18 turbidity measurements [5], whereas nanomaterial-dependent adsorption, wetting, and kinetic outputs are presented as prospective, falsifiable model-scenario predictions rather than direct experimental validation. (ii) Tau K18 is an experimentally well-characterized four-repeat domain construct containing the primary amyloidogenic motifs (R1-R4); extrapolation to full-length Tau (Tau-441), which incorporates large charged projection domains and distinct regulatory phosphorylation landscapes, will require independent parameterization. (iii) An effective coarse-grained order parameter description where φ_tilde represents lattice occupancy rather than atomistic coordinates. (iv) Implicit solvent treatment without explicit conformational dynamics. (v) An idealized non-cooperative Langmuir adsorption isotherm. (vi) Representation of borophene and MXene as idealized stable 2D nanosheets without explicit chemical oxidation or restacking kinetics. (vii) Omission of local surface-termination micro-heterogeneity. Future work combining all-atom MD with continuum phase-field modeling will provide atomistic resolution of the 2D 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with critical parameters (φ_c = 0.246, χ_c = 0.872)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(0.246, 0.872)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Representative parameter scenarios for aqueous-stabilized borophene nanoflakes and Ti3C2Tx MXene were calibrated from audited literature sources and geometric model estimates, as summarized in Table 2.</w:t>
      </w:r>
    </w:p>
    <w:p>
      <w:pPr>
        <w:spacing w:after="60"/>
      </w:pPr>
      <w:r>
        <w:rPr>
          <w:b/>
          <w:sz w:val="18"/>
        </w:rPr>
        <w:t>Table 2. Representative scenario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Langmuir grand potential: Eq. 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Extraction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k_ext</w:t>
            </w:r>
          </w:p>
        </w:tc>
        <w:tc>
          <w:tcPr>
            <w:tcW w:type="dxa" w:w="1872"/>
            <w:shd w:fill="F8FAFC"/>
            <w:tcMar>
              <w:top w:w="80" w:type="dxa"/>
              <w:bottom w:w="80" w:type="dxa"/>
              <w:left w:w="100" w:type="dxa"/>
              <w:right w:w="100" w:type="dxa"/>
            </w:tcMar>
          </w:tcPr>
          <w:p>
            <w:pPr>
              <w:spacing w:after="40" w:before="40"/>
            </w:pPr>
            <w:r>
              <w:rPr>
                <w:rFonts w:ascii="Arial" w:hAnsi="Arial"/>
                <w:sz w:val="17"/>
              </w:rPr>
              <w:t>1.25 h⁻¹</w:t>
            </w:r>
          </w:p>
        </w:tc>
        <w:tc>
          <w:tcPr>
            <w:tcW w:type="dxa" w:w="1872"/>
            <w:shd w:fill="F8FAFC"/>
            <w:tcMar>
              <w:top w:w="80" w:type="dxa"/>
              <w:bottom w:w="80" w:type="dxa"/>
              <w:left w:w="100" w:type="dxa"/>
              <w:right w:w="100" w:type="dxa"/>
            </w:tcMar>
          </w:tcPr>
          <w:p>
            <w:pPr>
              <w:spacing w:after="40" w:before="40"/>
            </w:pPr>
            <w:r>
              <w:rPr>
                <w:rFonts w:ascii="Arial" w:hAnsi="Arial"/>
                <w:sz w:val="17"/>
              </w:rPr>
              <w:t>0.75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tcMar>
              <w:top w:w="80" w:type="dxa"/>
              <w:bottom w:w="80" w:type="dxa"/>
              <w:left w:w="100" w:type="dxa"/>
              <w:right w:w="100" w:type="dxa"/>
            </w:tcMar>
          </w:tcPr>
          <w:p>
            <w:pPr>
              <w:spacing w:after="40" w:before="40"/>
            </w:pPr>
            <w:r>
              <w:rPr>
                <w:rFonts w:ascii="Arial" w:hAnsi="Arial"/>
                <w:sz w:val="17"/>
              </w:rPr>
              <w:t>Desorption Rate Constant</w:t>
            </w:r>
          </w:p>
        </w:tc>
        <w:tc>
          <w:tcPr>
            <w:tcW w:type="dxa" w:w="1872"/>
            <w:tcMar>
              <w:top w:w="80" w:type="dxa"/>
              <w:bottom w:w="80" w:type="dxa"/>
              <w:left w:w="100" w:type="dxa"/>
              <w:right w:w="100" w:type="dxa"/>
            </w:tcMar>
          </w:tcPr>
          <w:p>
            <w:pPr>
              <w:spacing w:after="40" w:before="40"/>
            </w:pPr>
            <w:r>
              <w:rPr>
                <w:rFonts w:ascii="Arial" w:hAnsi="Arial"/>
                <w:sz w:val="17"/>
              </w:rPr>
              <w:t>k_des</w:t>
            </w:r>
          </w:p>
        </w:tc>
        <w:tc>
          <w:tcPr>
            <w:tcW w:type="dxa" w:w="1872"/>
            <w:tcMar>
              <w:top w:w="80" w:type="dxa"/>
              <w:bottom w:w="80" w:type="dxa"/>
              <w:left w:w="100" w:type="dxa"/>
              <w:right w:w="100" w:type="dxa"/>
            </w:tcMar>
          </w:tcPr>
          <w:p>
            <w:pPr>
              <w:spacing w:after="40" w:before="40"/>
            </w:pPr>
            <w:r>
              <w:rPr>
                <w:rFonts w:ascii="Arial" w:hAnsi="Arial"/>
                <w:sz w:val="17"/>
              </w:rPr>
              <w:t>0.04 h⁻¹</w:t>
            </w:r>
          </w:p>
        </w:tc>
        <w:tc>
          <w:tcPr>
            <w:tcW w:type="dxa" w:w="1872"/>
            <w:tcMar>
              <w:top w:w="80" w:type="dxa"/>
              <w:bottom w:w="80" w:type="dxa"/>
              <w:left w:w="100" w:type="dxa"/>
              <w:right w:w="100" w:type="dxa"/>
            </w:tcMar>
          </w:tcPr>
          <w:p>
            <w:pPr>
              <w:spacing w:after="40" w:before="40"/>
            </w:pPr>
            <w:r>
              <w:rPr>
                <w:rFonts w:ascii="Arial" w:hAnsi="Arial"/>
                <w:sz w:val="17"/>
              </w:rPr>
              <w:t>0.12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Contact angles are conditional on η_eff. Young's equation then gives the contact angle:</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normal distributions of ΔG_ads (±0.5 kcal/mol) and η_eff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Variance-based global sensitivity analysis was performed over the 8 parameter distributions detailed in Table 3 (D = 8) using SALib (v1.5) under the Saltelli extension of the Sobol low-discrepancy sequence [90,91]. A scrambled quasi-random Sobol sequence of base sample size N_base = 512 was generated with a declared pseudo-random seed (seed = 42). Without second-order cross terms (calc_second_order = False), the radial design generates N_eval = N_base × (D + 2) = 5120 total physical model evaluations, evaluated directly through the FH-VO Brent root solver for T_cloud^app and the mass-conserving kinetic master equations for M_final. First-order indices S_i and total-effect indices S_Ti were calculated using the standard Saltelli et al. (2010) estimators: S_i = ⟨B(AB_i - A)⟩ / V(Y) and S_Ti = (1/2) ⟨(A - AB_i)²⟩ / V(Y). Confidence intervals at the 95% level were computed via 1000 bootstrap resamples. Numerical convergence was strictly computed from the nested dyadic sub-blocks N ∈ {64, 128, 256, 512}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for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Conclusions</w:t>
      </w:r>
    </w:p>
    <w:p>
      <w:pPr>
        <w:spacing w:after="100"/>
      </w:pPr>
      <w:r>
        <w:t>In this study, we developed a unified statistical-thermodynamic and kinetic framework coupling Flory-Huggins-Voorn-Overbeek polymer theory, Langmuir interfacial adsorption mass balance, Cahn-Hilliard wetting theory, and mass-conserving master equations to elucidate the physical mechanisms governing Tau condensate modulation by 2D nanomaterial interfaces. The core theoretical insight is that 2D interface-mediated phase suppression operates through area-density-driven monomer sequestration that shifts the apparent bulk state point without altering intrinsic macromolecular interaction energetics (∂χ/∂a_s = 0). This mass-balance mechanism offers a general soft-matter explanation for how high-surface-area nanosheets can alter biomolecular condensation thresholds.</w:t>
      </w:r>
    </w:p>
    <w:p>
      <w:pPr>
        <w:spacing w:after="100"/>
      </w:pPr>
      <w:r>
        <w:t>By mapping the interfacial parameter landscape, we demonstrated that the physical outcome is governed continuously by the interfacial area density a_s and the standard adsorption free energy ΔG_ads. The literature-informed borophene-like and MXene-like scenarios serve as illustrative physical archetypes: high-affinity biointerfaces (ΔG_ads ≈ -7.8 kcal/mol) can fully dissolve condensates across physiological and room temperatures and deplete ~60% of free monomers at 37 °C, whereas moderate-affinity interfaces (ΔG_ads ≈ -5.2 kcal/mol) produce only partial depletion, leaving stable condensates intact. Furthermore, under fixed aggregation rate laws, interfacial extraction extends the lag time of autocatalytic secondary nucleation and arrests overall fibril accumulation.</w:t>
      </w:r>
    </w:p>
    <w:p>
      <w:pPr>
        <w:spacing w:after="100"/>
      </w:pPr>
      <w:r>
        <w:t>Importantly, our framework establishes quantitative, prospectively falsifiable predictions for future experimental studies: (1) In spectroturbidimetric cloud-point assays of Tau K18, the upward shift in T_cloud^app should scale linearly with total accessible nanomaterial surface area (a_s = SSA · C_nano), meaning that heavily restacked materials with lower BET areas will require proportionally higher mass loadings to achieve equivalent phase dissolution. (2) Sessile condensate droplet contact angle goniometry on passivated 2D substrates should reveal partial wetting regimes (θ_c ≈ 50°–80°) governed by the balance between capillary tension (γ_LL ≈ 1.6 µN/m) and adsorption grand potential excess. (3) In time-resolved ThT fluorescence kinetics, 2D nanosheet addition should retard the secondary nucleation lag phase without altering the characteristic fibril elongation rate.</w:t>
      </w:r>
    </w:p>
    <w:p>
      <w:pPr>
        <w:spacing w:before="280" w:after="80"/>
      </w:pPr>
      <w:r>
        <w:rPr>
          <w:rFonts w:ascii="Arial" w:hAnsi="Arial"/>
          <w:b/>
          <w:sz w:val="25"/>
        </w:rPr>
        <w:t>Author Contributions</w:t>
      </w:r>
    </w:p>
    <w:p>
      <w:pPr>
        <w:spacing w:after="100"/>
      </w:pPr>
      <w:r>
        <w:t>A.M.H.: Conceptualization, Methodology, Formal analysis, Software, Investigation, Writing – original draft. J.M.M.B.: Methodology, Validation, Writing – review &amp; editing. S.L.F.A.: Investigation, Data curation, Validation, Writing – review &amp; editing. C.I.M.O.: Formal analysis, Supervision, Validation, Writing – review &amp; editing. All authors read and approved the final manuscript.</w:t>
      </w:r>
    </w:p>
    <w:p>
      <w:pPr>
        <w:spacing w:before="280" w:after="80"/>
      </w:pPr>
      <w:r>
        <w:rPr>
          <w:rFonts w:ascii="Arial" w:hAnsi="Arial"/>
          <w:b/>
          <w:sz w:val="25"/>
        </w:rPr>
        <w:t>Conflicts of Interest</w:t>
      </w:r>
    </w:p>
    <w:p>
      <w:pPr>
        <w:spacing w:after="100"/>
      </w:pPr>
      <w:r>
        <w:t>There are no conflicts to declare.</w:t>
      </w:r>
    </w:p>
    <w:p>
      <w:pPr>
        <w:spacing w:before="280" w:after="80"/>
      </w:pPr>
      <w:r>
        <w:rPr>
          <w:rFonts w:ascii="Arial" w:hAnsi="Arial"/>
          <w:b/>
          <w:sz w:val="25"/>
        </w:rPr>
        <w:t>Data and Code Availability</w:t>
      </w:r>
    </w:p>
    <w:p>
      <w:pPr>
        <w:spacing w:after="100"/>
      </w:pPr>
      <w:r>
        <w:t>All simulation scripts, thermodynamic root solvers, kinetic master equation integrators, digitized experimental literature data, and unit test suites are openly available in the project GitHub repository (https://github.com/sircalch/llps-tau-2d-nanomaterials) supported by automated continuous integration. A permanent, immutable Zenodo archive with a dedicated DOI will be minted from the tagged release candidate (v1.0.0) upon submission.</w:t>
      </w:r>
    </w:p>
    <w:p>
      <w:pPr>
        <w:spacing w:before="280" w:after="80"/>
      </w:pPr>
      <w:r>
        <w:rPr>
          <w:rFonts w:ascii="Arial" w:hAnsi="Arial"/>
          <w:b/>
          <w:sz w:val="25"/>
        </w:rPr>
        <w:t>Acknowledgements</w:t>
      </w:r>
    </w:p>
    <w:p>
      <w:pPr>
        <w:spacing w:after="100"/>
      </w:pPr>
      <w:r>
        <w:t>The authors acknowledge financial and infrastructural support from Universidad Estatal de Sonora (UES) and Universidad de Sonora (UNISON). Generative AI Disclosure: During the preparation of this computational study, generative AI assistance (OpenAI Codex / Anthropic Claude / Google Gemini) was utilized for code review, unit test generation, and manuscript formatting. All mathematical models, numerical simulations, physical interpretations, and bibliographic citations were independently verified and finalized under full author responsibility.</w:t>
      </w:r>
    </w:p>
    <w:p>
      <w:pPr>
        <w:spacing w:before="280" w:after="80"/>
      </w:pPr>
      <w:r>
        <w:rPr>
          <w:rFonts w:ascii="Arial" w:hAnsi="Arial"/>
          <w:b/>
          <w:sz w:val="25"/>
        </w:rPr>
        <w:t>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Pietrek, L. M.; Holla, A.; Oroz, J.; Sikora, M.; Köfinger, J.; Schuler, B.; Zweckstetter, M.; Hummer, G. Conformational Ensembles of the Human Tau Protein to Assess Its Function and Pathological Aggregation.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