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are prone to pathological cross-β amyloid transitions. Here we establish a coarse-grained statistical-thermodynamic and kinetic framework that combines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shows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at room and sub-physiological temperatures and depleting ~60% of the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that the apparent cloud point depends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markedly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versatile platforms with 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remains lacking. In this study, we formulate a statistical-thermodynamic and kinetic framework in which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driven by the hydrophobic desolvation entropy of the repeat-domain hexapeptide motifs (VQIINK in R2 and VQIVYK in R3)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by Brent's method, consistent with the ~15 °C turbidity onset reported in Figure 2b of Ambadipudi et al. (Fig. 1a, inset) [5].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the free monomer concentration drops by nearly 60% to c_free ≈ 41.4 µM, shifting the apparent cloud point to 29.4 °C and dissolving the condensate below that temperature. In contrast, the Ti3C2Tx MXene-like scenario (Scenario 2, ΔG_ads = -5.2 kcal/mol), exhibiting weaker adsorption affinity, produces only partial depletion (c_free ≈ 87.6 µM at a_s = 1.0×10⁻⁴ nm⁻¹), leaving droplets stable across this area-density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moderate ionic strength preserves condensate stability, whereas elevated salt screens the electrostatic contribution and narrows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quantitatively compares the predicted behavior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thermodynamic binodal-crossing condition φ_tilde_free(T, a_s) = φ_tilde_dilute(T) by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Apparent cloud-point temperature T_cloud^app vs interfacial area density a_s, obtained by solving the binodal-crossing condition by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emphasize that this kinetic module is a prospective, normalized amyloid-aging model, since spontaneous fibrillation of pure Tau K18 without polyanionic cofactors such as heparin proceeds much more slowly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We extended the same 8-parameter Sobol design to a third output, the physiological (37 °C) wetting angle θ_c (Fig. 5c), evaluated directly from the bulk binodal and the Langmuir surface grand potential at every sample. Adsorption free energy ΔG_ads dominates (S_T = 0.67 ± 0.07), followed by the phenomenological coupling factor η_eff (S_T = 0.29 ± 0.04, which enters θ_c linearly through Δγ_s but has no effect on T_cloud^app or M_final) and thermal slope β (S_T = 0.21 ± 0.03); critical temperature, segment length and ionic strength contribute only weakly (S_T &lt; 0.04). As with the aging kinetics, area density a_s and extraction rate k_ext evaluate to exact structural zeros for θ_c, since Young's equation is evaluated on the bulk (adsorption-independent) coexistence compositions rather than the adsorption-depleted state. The model thus produces three output-specific sensitivity partitions: bulk macromolecular thermodynamics and interfacial adsorption jointly set phase coexistence, adsorption free energy and the interfacial coupling factor together control wetting, and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5d-f) shows a converged decomposition for all three outputs: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2761957"/>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2761957"/>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(b) fibrillation arrest M_final (evaluated directly via kinetic ODEs), and (c) physiological wetting angle θ_c at 37 °C (evaluated directly from the bulk binodal and the Langmuir surface grand potential). (d-f) Block sensitivity trajectories S_Ti(N) across dyadic sub-block sample sizes N ∈ {128, 256, 512, 1024} for the same three outputs;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We state the model's limitations and domain of validity explicitly. (i) This work is deliberately formulated as a predictive theoretical study: bulk phase separation is parameterized against published Tau K18 turbidity measurements [5], whereas the nanomaterial-dependent adsorption, wetting, and kinetic outputs are presented as prospective, falsifiable model-scenario predictions rather than as direct experimental validation. (ii) Tau K18 is an experimentally well-characterized four-repeat (R1-R4) construct that contains the principal amyloidogenic hexapeptide motifs (VQIINK in R2, VQIVYK in R3); extrapolation to full-length Tau (Tau-441), which carries large charged projection domains and a distinct regulatory phosphorylation landscape, will require independent parameterization. (iii) φ_tilde is an effective coarse-grained order parameter representing lattice occupancy rather than atomistic coordinates. (iv) The solvent is treated implicitly, without explicit conformational dynamics. (v) The adsorption isotherm is idealized as non-cooperative Langmuir binding. (vi) Borophene and MXene are represented as idealized, stable 2D nanosheets, without explicit chemical oxidation or restacking kinetics. (vii) Local surface-termination micro-heterogeneity is not resolved. Future work combining all-atom molecular dynamics with continuum phase-field modeling would provide atomistic resolution of the 2D-interface-induced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and the critical parameters (φ_c = 0.247, χ_c = 0.872) are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The resulting contact angles are therefore conditional on η_eff. Young's equation then gives:</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Gaussian distributions for ΔG_ads (standard deviation 0.25 kcal/mol) and η_eff (standard deviation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the mass-conserving kinetic master equations for M_final, and the physiological (37 °C) wetting angle θ_c evaluated directly from the bulk binodal and the Langmuir surface grand potential (Section 3.4) for the same sample.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