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Arial" w:hAnsi="Arial"/>
          <w:b/>
          <w:sz w:val="30"/>
        </w:rPr>
        <w:t>Thermodynamic modulation of Tau liquid-liquid phase separation and condensate wetting by two-dimensional nanomaterial interfaces: emergent suppression via adsorption equilibrium</w:t>
      </w:r>
    </w:p>
    <w:p>
      <w:pPr>
        <w:spacing w:after="80"/>
      </w:pPr>
      <w:r>
        <w:rPr>
          <w:b/>
        </w:rPr>
        <w:t>Andrés Monreal Hernández</w:t>
      </w:r>
      <w:r>
        <w:rPr>
          <w:vertAlign w:val="superscript"/>
        </w:rPr>
        <w:t>1,*</w:t>
      </w:r>
      <w:r>
        <w:t xml:space="preserve">, </w:t>
      </w:r>
      <w:r>
        <w:rPr>
          <w:b/>
        </w:rPr>
        <w:t>Jesús Martín Muñoz Bautista</w:t>
      </w:r>
      <w:r>
        <w:rPr>
          <w:vertAlign w:val="superscript"/>
        </w:rPr>
        <w:t>2</w:t>
      </w:r>
      <w:r>
        <w:t xml:space="preserve">, </w:t>
      </w:r>
      <w:r>
        <w:rPr>
          <w:b/>
        </w:rPr>
        <w:t>Sara Lizbeth Franco Amaya</w:t>
      </w:r>
      <w:r>
        <w:rPr>
          <w:vertAlign w:val="superscript"/>
        </w:rPr>
        <w:t>3</w:t>
      </w:r>
      <w:r>
        <w:t xml:space="preserve">, </w:t>
      </w:r>
      <w:r>
        <w:rPr>
          <w:b/>
        </w:rPr>
        <w:t>Carlos Ivanhoe Martínez Osorio</w:t>
      </w:r>
      <w:r>
        <w:rPr>
          <w:vertAlign w:val="superscript"/>
        </w:rPr>
        <w:t>4</w:t>
      </w:r>
    </w:p>
    <w:p>
      <w:pPr>
        <w:spacing w:after="20"/>
      </w:pPr>
      <w:r>
        <w:rPr>
          <w:vertAlign w:val="superscript"/>
        </w:rPr>
        <w:t xml:space="preserve">1 </w:t>
      </w:r>
      <w:r>
        <w:rPr>
          <w:sz w:val="17"/>
        </w:rPr>
        <w:t>Universidad Estatal de Sonora, Ley Federal del Trabajo s/n, 83100 Hermosillo, Sonora, Mexico.</w:t>
      </w:r>
    </w:p>
    <w:p>
      <w:pPr>
        <w:spacing w:after="20"/>
      </w:pPr>
      <w:r>
        <w:rPr>
          <w:vertAlign w:val="superscript"/>
        </w:rPr>
        <w:t xml:space="preserve">2 </w:t>
      </w:r>
      <w:r>
        <w:rPr>
          <w:sz w:val="17"/>
        </w:rPr>
        <w:t>Departamento de Investigación y Posgrado en Alimentos (DIPA), Universidad de Sonora, Blvd. Luis Encinas y Rosales, 83000 Hermosillo, Sonora, Mexico.</w:t>
      </w:r>
    </w:p>
    <w:p>
      <w:pPr>
        <w:spacing w:after="20"/>
      </w:pPr>
      <w:r>
        <w:rPr>
          <w:vertAlign w:val="superscript"/>
        </w:rPr>
        <w:t xml:space="preserve">3 </w:t>
      </w:r>
      <w:r>
        <w:rPr>
          <w:sz w:val="17"/>
        </w:rPr>
        <w:t>Doctorado en Nanotecnología, Departamento de Física, Universidad de Sonora, Blvd. Luis Encinas y Rosales, 83000 Hermosillo, Sonora, Mexico.</w:t>
      </w:r>
    </w:p>
    <w:p>
      <w:pPr>
        <w:spacing w:after="20"/>
      </w:pPr>
      <w:r>
        <w:rPr>
          <w:vertAlign w:val="superscript"/>
        </w:rPr>
        <w:t xml:space="preserve">4 </w:t>
      </w:r>
      <w:r>
        <w:rPr>
          <w:sz w:val="17"/>
        </w:rPr>
        <w:t>Doctorado en Ciencia de Materiales, Departamento de Investigación en Polímeros y Materiales (DIPM), Universidad de Sonora, 83000 Hermosillo, Sonora, Mexico.</w:t>
      </w:r>
    </w:p>
    <w:p>
      <w:pPr>
        <w:spacing w:after="240"/>
      </w:pPr>
      <w:r>
        <w:rPr>
          <w:sz w:val="17"/>
        </w:rPr>
        <w:t>*email: andres.monreal@ues.mx</w:t>
      </w:r>
    </w:p>
    <w:p>
      <w:pPr>
        <w:spacing w:before="160"/>
        <w:jc w:val="center"/>
      </w:pPr>
      <w:r>
        <w:drawing>
          <wp:inline xmlns:a="http://schemas.openxmlformats.org/drawingml/2006/main" xmlns:pic="http://schemas.openxmlformats.org/drawingml/2006/picture">
            <wp:extent cx="5577840" cy="311321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5577840" cy="3113213"/>
                    </a:xfrm>
                    <a:prstGeom prst="rect"/>
                  </pic:spPr>
                </pic:pic>
              </a:graphicData>
            </a:graphic>
          </wp:inline>
        </w:drawing>
      </w:r>
    </w:p>
    <w:p>
      <w:pPr>
        <w:spacing w:before="40" w:after="200"/>
      </w:pPr>
      <w:r>
        <w:rPr>
          <w:b/>
          <w:sz w:val="17"/>
        </w:rPr>
        <w:t xml:space="preserve">Graphical Abstract. </w:t>
      </w:r>
      <w:r>
        <w:rPr>
          <w:color w:val="374151"/>
          <w:sz w:val="17"/>
        </w:rPr>
        <w:t>2D nanomaterial interfaces (borophene, MXene) sequester soluble Tau monomers via adsorption equilibrium, moving the system state point relative to the bulk LCST coexistence boundary and suppressing secondary nucleation within the explored parameter regime.</w:t>
      </w:r>
    </w:p>
    <w:p>
      <w:pPr>
        <w:spacing w:after="280"/>
      </w:pPr>
      <w:r>
        <w:rPr>
          <w:b/>
        </w:rPr>
        <w:t>ABSTRACT</w:t>
        <w:br/>
      </w:r>
      <w:r>
        <w:rPr>
          <w:sz w:val="19"/>
        </w:rPr>
        <w:t>Liquid-liquid phase separation (LLPS) of the intrinsically disordered protein Tau drives the formation of reversible biomolecular condensates; however, aberrant liquid-to-solid transitions within these condensates promote irreversible cross-β amyloid aggregation implicated in Alzheimer's disease. Here, we establish a statistical-mechanical framework combining Flory-Huggins-Voorn-Overbeek (FH-VO) polymer theory with Cahn-Hilliard interfacial gradient theory and mass-conserving master equations to investigate how two-dimensional (2D) nanomaterial interfaces (aqueous-passivated borophene nanoflakes and Ti3C2Tx MXene) modulate Tau LLPS and condensate aging. The model is parameterized to reproduce the reported Lower Critical Solution Temperature (LCST) and turbidity onset behavior of the Tau K18 repeat domain (Ambadipudi et al., Nat. Commun. 2017), where the order parameter φ_tilde represents the effective semi-dilute lattice site occupancy (scaled via s_phi = 0.950 mM⁻¹, yielding 100 µM ↔ φ_tilde_total = 0.095, with hydrodynamic radius Rh = 3.4 ± 0.6 nm, Stelzl et al., JACS Au 2022). A foundational feature of this formulation is that 2D interface-mediated LLPS suppression emerges self-consistently from explicit Langmuir adsorption mass balance governed by standard thermodynamic activity a = c / c° (where c° = 1.0 M; φ_tilde_total = φ_tilde_free + m_tilde_max θ_ads, with surface capacity c_max,ads = a_s Γ_max 10³⁰ / N_A [µM]), without empirical alterations to the intrinsic Flory interaction parameter (∂χ/∂a_s = 0). Using literature-audited scenario parameters, the model demonstrates a strong material-specific differentiation: stabilized borophene (ΔG_ads = -7.8 kcal/mol, contact angle θ_c = 50.3° with surface excess Δγ_s = 1.023 µN/m) shifts the apparent cloud point from 15.3 °C to 29.4 °C at C_nano = 100 µg/mL (interfacial area density a_s = 1.0×10⁻⁴ nm⁻¹ for SSA = 1000 m²/g), dissolving LLPS across room and sub-physiological temperatures and depleting ~60% monomer at 37 °C (c_free ≈ 41.4 µM), whereas Ti3C2Tx MXene (ΔG_ads = -5.2 kcal/mol, θ_c = 79.3° with Δγ_s = 0.296 µN/m) induces only partial depletion (c_free ≈ 87.6 µM at 100 µg/mL), maintaining stable condensate droplets across the loading window. Coupled master equations with strictly dimensional fluxes confirm that interfacial monomer sequestration retards secondary nucleation without altering the underlying intrinsic aggregation pathway. An 8-parameter Sobol global sensitivity analysis using direct physical root solvers identifies interfacial area density a_s and thermal LCST slope β as primary control variables. This work provides quantitative physical principles for modulating biomolecular condensates with structured 2D biointerfaces.</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 Under physiological conditions, the microtubule-associated protein Tau undergoes LLPS driven by electrostatic and hydrophobic interactions [5,6].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w:t>
      </w:r>
    </w:p>
    <w:p>
      <w:pPr>
        <w:spacing w:after="100"/>
      </w:pPr>
      <w:r>
        <w:t>Recent experimental studies have shown that biomolecular condensates interact actively with physical boundaries, displaying rich wetting, spreading, and interfacial anchoring phenomena on lipid membranes and nanomaterials [14-16,27].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equilibrium rather than phenomenological assumptions.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fully physical global sensitivity analysis.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0.246, χ_c = 0.872), is parameterized with critical temperature Tc = 8.5 °C (281.65 K) and thermal slope β = 0.0090 K⁻¹. Under this parameterization, the theoretical cloud point for nominal 100 µM Tau K18 (order parameter φ_tilde_total = 0.095) evaluates to T_cloud = 15.3 °C via Brent root solving, in precise agreement with the experimental turbidity onset (15.0–15.3 °C) reported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sheets.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stabilized borophene at C_nano = 100 µg/mL (a_s = 1.0×10⁻⁴ nm⁻¹ for SSA = 1000 m²/g), free monomer concentration drops by nearly 60% to c_free ≈ 41.4 µM, shifting the apparent cloud point to 29.4 °C and dissolving the condensate at temperatures below 29.4 °C. In contrast, Ti3C2Tx MXene, exhibiting weaker affinity (ΔG_ads = -5.2 kcal/mol vs -7.8 kcal/mol for borophene), produces only partial depletion (c_free ≈ 87.6 µM at 100 µg/mL), maintaining droplets stable throughout the 0–100 µg/mL loading window at 37 °C.</w:t>
      </w:r>
    </w:p>
    <w:p>
      <w:pPr>
        <w:spacing w:before="160"/>
        <w:jc w:val="center"/>
      </w:pPr>
      <w:r>
        <w:drawing>
          <wp:inline xmlns:a="http://schemas.openxmlformats.org/drawingml/2006/main" xmlns:pic="http://schemas.openxmlformats.org/drawingml/2006/picture">
            <wp:extent cx="5577840" cy="2872197"/>
            <wp:docPr id="2" name="Picture 2"/>
            <wp:cNvGraphicFramePr>
              <a:graphicFrameLocks noChangeAspect="1"/>
            </wp:cNvGraphicFramePr>
            <a:graphic>
              <a:graphicData uri="http://schemas.openxmlformats.org/drawingml/2006/picture">
                <pic:pic>
                  <pic:nvPicPr>
                    <pic:cNvPr id="0" name="Figure_1_Tau_LLPS_Phase_Diagram_2D_Interface.png"/>
                    <pic:cNvPicPr/>
                  </pic:nvPicPr>
                  <pic:blipFill>
                    <a:blip r:embed="rId10"/>
                    <a:stretch>
                      <a:fillRect/>
                    </a:stretch>
                  </pic:blipFill>
                  <pic:spPr>
                    <a:xfrm>
                      <a:off x="0" y="0"/>
                      <a:ext cx="5577840" cy="2872197"/>
                    </a:xfrm>
                    <a:prstGeom prst="rect"/>
                  </pic:spPr>
                </pic:pic>
              </a:graphicData>
            </a:graphic>
          </wp:inline>
        </w:drawing>
      </w:r>
    </w:p>
    <w:p>
      <w:pPr>
        <w:spacing w:before="40" w:after="200"/>
      </w:pPr>
      <w:r>
        <w:rPr>
          <w:b/>
          <w:sz w:val="17"/>
        </w:rPr>
        <w:t xml:space="preserve">Figure 1. </w:t>
      </w:r>
      <w:r>
        <w:rPr>
          <w:color w:val="374151"/>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nanosheet concentration C_nano (and interfacial area density a_s) at 37 °C, showing strong depletion for borophene vs weak partial depletion for MXene.</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stabilized borophene, the solid-liquid surface energy excess evaluates to Δγ_s = 1.023 µN/m (derived directly from the Langmuir surface grand potential with η_eff = 0.20×10⁻³ and standard activity a = c/c°), yielding cos(θ_c) = 1.023 / 1.601 = 0.639 and θ_c = 50.3° at 37 °C. For Ti3C2Tx MXene, Δγ_s = 0.296 µN/m yields cos(θ_c) = 0.296 / 1.601 = 0.185 and θ_c = 79.3°.</w:t>
      </w:r>
    </w:p>
    <w:p>
      <w:pPr>
        <w:spacing w:before="160"/>
        <w:jc w:val="center"/>
      </w:pPr>
      <w:r>
        <w:drawing>
          <wp:inline xmlns:a="http://schemas.openxmlformats.org/drawingml/2006/main" xmlns:pic="http://schemas.openxmlformats.org/drawingml/2006/picture">
            <wp:extent cx="5577840" cy="2395480"/>
            <wp:docPr id="3" name="Picture 3"/>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1"/>
                    <a:stretch>
                      <a:fillRect/>
                    </a:stretch>
                  </pic:blipFill>
                  <pic:spPr>
                    <a:xfrm>
                      <a:off x="0" y="0"/>
                      <a:ext cx="5577840" cy="2395480"/>
                    </a:xfrm>
                    <a:prstGeom prst="rect"/>
                  </pic:spPr>
                </pic:pic>
              </a:graphicData>
            </a:graphic>
          </wp:inline>
        </w:drawing>
      </w:r>
    </w:p>
    <w:p>
      <w:pPr>
        <w:spacing w:before="40" w:after="200"/>
      </w:pPr>
      <w:r>
        <w:rPr>
          <w:b/>
          <w:sz w:val="17"/>
        </w:rPr>
        <w:t xml:space="preserve">Figure 2. </w:t>
      </w:r>
      <w:r>
        <w:rPr>
          <w:color w:val="374151"/>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stabilized borophene (red star, Δγ_s = 1.02 µN/m, θ_c = 50.3°) and Ti3C2Tx MXene (blue diamond, Δγ_s = 0.30 µN/m, θ_c = 79.3°) at 37 °C are indicated.</w:t>
      </w:r>
    </w:p>
    <w:p>
      <w:pPr>
        <w:spacing w:before="200" w:after="60"/>
      </w:pPr>
      <w:r>
        <w:rPr>
          <w:rFonts w:ascii="Arial" w:hAnsi="Arial"/>
          <w:b/>
          <w:sz w:val="21"/>
        </w:rPr>
        <w:t>2.3 Material-Specific Differentiation: Stabilized Borophene vs Ti3C2Tx MXene</w:t>
      </w:r>
    </w:p>
    <w:p>
      <w:pPr>
        <w:spacing w:after="100"/>
      </w:pPr>
      <w:r>
        <w:t>Figure 3 compares the quantitative performance of Stabilized Borophene vs Ti3C2Tx MXene across the physical loading range C_nano ∈ [0, 100] µg/mL (a_s ∈ [0, 1.0×10⁻⁴] nm⁻¹). The apparent cloud point T_cloud^app (Fig. 3a) was determined by solving the true thermodynamic binodal root φ_tilde_free(T, a_s) = φ_tilde_dilute(T) via Brent's method. For borophene, T_cloud^app shifts from 15.3 °C (control) up to 29.4 °C at 100 µg/mL, demonstrating a +14.1 °C thermal stabilization of the mixed state. For MXene, T_cloud^app increases modestly from 15.3 °C to 17.8 °C (+2.5 °C). Continuous wetting angles θ_c(T) across 15–50 °C with Monte Carlo 95% confidence intervals (Fig. 3b) remain in the partial wetting regime for both materials, while kinetic lag times τ_lag (Fig. 3c) and final fibril mass M_final (Fig. 3d) reflect monomer sequestration.</w:t>
      </w:r>
    </w:p>
    <w:p>
      <w:pPr>
        <w:spacing w:before="160"/>
        <w:jc w:val="center"/>
      </w:pPr>
      <w:r>
        <w:drawing>
          <wp:inline xmlns:a="http://schemas.openxmlformats.org/drawingml/2006/main" xmlns:pic="http://schemas.openxmlformats.org/drawingml/2006/picture">
            <wp:extent cx="5577840" cy="4373027"/>
            <wp:docPr id="4" name="Picture 4"/>
            <wp:cNvGraphicFramePr>
              <a:graphicFrameLocks noChangeAspect="1"/>
            </wp:cNvGraphicFramePr>
            <a:graphic>
              <a:graphicData uri="http://schemas.openxmlformats.org/drawingml/2006/picture">
                <pic:pic>
                  <pic:nvPicPr>
                    <pic:cNvPr id="0" name="Figure_5_Borophene_vs_MXene_Comparison.png"/>
                    <pic:cNvPicPr/>
                  </pic:nvPicPr>
                  <pic:blipFill>
                    <a:blip r:embed="rId12"/>
                    <a:stretch>
                      <a:fillRect/>
                    </a:stretch>
                  </pic:blipFill>
                  <pic:spPr>
                    <a:xfrm>
                      <a:off x="0" y="0"/>
                      <a:ext cx="5577840" cy="4373027"/>
                    </a:xfrm>
                    <a:prstGeom prst="rect"/>
                  </pic:spPr>
                </pic:pic>
              </a:graphicData>
            </a:graphic>
          </wp:inline>
        </w:drawing>
      </w:r>
    </w:p>
    <w:p>
      <w:pPr>
        <w:spacing w:before="40" w:after="200"/>
      </w:pPr>
      <w:r>
        <w:rPr>
          <w:b/>
          <w:sz w:val="17"/>
        </w:rPr>
        <w:t xml:space="preserve">Figure 3. </w:t>
      </w:r>
      <w:r>
        <w:rPr>
          <w:color w:val="374151"/>
          <w:sz w:val="17"/>
        </w:rPr>
        <w:t>Material-specific quantitative comparison between Stabilized Borophene and Ti3C2Tx MXene. (a) True thermodynamic apparent cloud-point temperature T_cloud^app vs nanosheet loading C_nano solved via Brent's method.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C_nano = 0 µg/mL, Fig. 4a), high local monomer concentration triggers autocatalytic secondary nucleation, converting 60% of the initial monomer pool into solid fibrils within 12 hours (τ_lag = 2.73 h). In the presence of 2D nanosheets (Fig. 4b,c), interfacial monomer extraction depletes the liquid monomer fraction φ_dense(t), extending the solidification lag time to 2.97 h at 100 µg/mL (Fig. 4d) and reducing final fibril mass to 0.570. We explicitly emphasize that this kinetic module is a prospective normalized amyloid-aging model, as spontaneous fibrillation of pure Tau K18 without polyanionic cofactors (such as heparin) proceeds at slower basal rates [5,6].</w:t>
      </w:r>
    </w:p>
    <w:p>
      <w:pPr>
        <w:spacing w:before="160"/>
        <w:jc w:val="center"/>
      </w:pPr>
      <w:r>
        <w:drawing>
          <wp:inline xmlns:a="http://schemas.openxmlformats.org/drawingml/2006/main" xmlns:pic="http://schemas.openxmlformats.org/drawingml/2006/picture">
            <wp:extent cx="5577840" cy="4276344"/>
            <wp:docPr id="5" name="Picture 5"/>
            <wp:cNvGraphicFramePr>
              <a:graphicFrameLocks noChangeAspect="1"/>
            </wp:cNvGraphicFramePr>
            <a:graphic>
              <a:graphicData uri="http://schemas.openxmlformats.org/drawingml/2006/picture">
                <pic:pic>
                  <pic:nvPicPr>
                    <pic:cNvPr id="0" name="Figure_3_Condensate_Aging_and_Fibrillation_Arrest.png"/>
                    <pic:cNvPicPr/>
                  </pic:nvPicPr>
                  <pic:blipFill>
                    <a:blip r:embed="rId13"/>
                    <a:stretch>
                      <a:fillRect/>
                    </a:stretch>
                  </pic:blipFill>
                  <pic:spPr>
                    <a:xfrm>
                      <a:off x="0" y="0"/>
                      <a:ext cx="5577840" cy="4276344"/>
                    </a:xfrm>
                    <a:prstGeom prst="rect"/>
                  </pic:spPr>
                </pic:pic>
              </a:graphicData>
            </a:graphic>
          </wp:inline>
        </w:drawing>
      </w:r>
    </w:p>
    <w:p>
      <w:pPr>
        <w:spacing w:before="40" w:after="200"/>
      </w:pPr>
      <w:r>
        <w:rPr>
          <w:b/>
          <w:sz w:val="17"/>
        </w:rPr>
        <w:t xml:space="preserve">Figure 4. </w:t>
      </w:r>
      <w:r>
        <w:rPr>
          <w:color w:val="374151"/>
          <w:sz w:val="17"/>
        </w:rPr>
        <w:t>Condensate aging kinetics under strictly dimensional master equations. (a) Fibril mass fraction M_drop(t). (b) Liquid monomer depletion φ_dense(t). (c) Interfacial monomer sequestration m_ads(t). (d) Fibrillation lag time τ_lag vs 2D loading C_nano across the physical range [0, 100] µg/mL.</w:t>
      </w:r>
    </w:p>
    <w:p>
      <w:pPr>
        <w:spacing w:before="200" w:after="60"/>
      </w:pPr>
      <w:r>
        <w:rPr>
          <w:rFonts w:ascii="Arial" w:hAnsi="Arial"/>
          <w:b/>
          <w:sz w:val="21"/>
        </w:rPr>
        <w:t>2.5 Global Sensitivity and Convergence Analysis</w:t>
      </w:r>
    </w:p>
    <w:p>
      <w:pPr>
        <w:spacing w:after="100"/>
      </w:pPr>
      <w:r>
        <w:t>Figure 5 presents the Saltelli-Jansen Sobol global sensitivity analysis over the 8 parameter distributions detailed in Table 3. For the apparent cloud point T_cloud^app (Fig. 5a), evaluated by directly executing the FH-VO Brent root solver for every sample, critical temperature Tc (S_Ti = 0.59) and thermal slope β (S_Ti = 0.44) dominate. For fibrillation mass M_final (Fig. 5b), interfacial area density a_s (S_Ti = 0.84) and extraction rate k_ext (S_Ti = 0.18) exert primary control. Figures 5c,d confirm that all total-effect indices S_Ti(N) achieve numerical stability across sub-block sample sizes.</w:t>
      </w:r>
    </w:p>
    <w:p>
      <w:pPr>
        <w:spacing w:before="160"/>
        <w:jc w:val="center"/>
      </w:pPr>
      <w:r>
        <w:drawing>
          <wp:inline xmlns:a="http://schemas.openxmlformats.org/drawingml/2006/main" xmlns:pic="http://schemas.openxmlformats.org/drawingml/2006/picture">
            <wp:extent cx="5577840" cy="3925147"/>
            <wp:docPr id="6" name="Picture 6"/>
            <wp:cNvGraphicFramePr>
              <a:graphicFrameLocks noChangeAspect="1"/>
            </wp:cNvGraphicFramePr>
            <a:graphic>
              <a:graphicData uri="http://schemas.openxmlformats.org/drawingml/2006/picture">
                <pic:pic>
                  <pic:nvPicPr>
                    <pic:cNvPr id="0" name="Figure_4_Sobol_Sensitivity_LLPS.png"/>
                    <pic:cNvPicPr/>
                  </pic:nvPicPr>
                  <pic:blipFill>
                    <a:blip r:embed="rId14"/>
                    <a:stretch>
                      <a:fillRect/>
                    </a:stretch>
                  </pic:blipFill>
                  <pic:spPr>
                    <a:xfrm>
                      <a:off x="0" y="0"/>
                      <a:ext cx="5577840" cy="3925147"/>
                    </a:xfrm>
                    <a:prstGeom prst="rect"/>
                  </pic:spPr>
                </pic:pic>
              </a:graphicData>
            </a:graphic>
          </wp:inline>
        </w:drawing>
      </w:r>
    </w:p>
    <w:p>
      <w:pPr>
        <w:spacing w:before="40" w:after="200"/>
      </w:pPr>
      <w:r>
        <w:rPr>
          <w:b/>
          <w:sz w:val="17"/>
        </w:rPr>
        <w:t xml:space="preserve">Figure 5. </w:t>
      </w:r>
      <w:r>
        <w:rPr>
          <w:color w:val="374151"/>
          <w:sz w:val="17"/>
        </w:rPr>
        <w:t>Sobol global sensitivity and block convergence analysis. First-order (S_i) and total-effect (S_Ti) indices for (a) apparent cloud point T_cloud^app (evaluated directly with FH-VO Brent root solver) and (b) fibrillation arrest M_final (evaluated directly via kinetic ODEs). (c,d) Convergence curves S_Ti(N) confirming numerical stability across sample size.</w:t>
      </w:r>
    </w:p>
    <w:p>
      <w:pPr>
        <w:spacing w:before="200" w:after="60"/>
      </w:pPr>
      <w:r>
        <w:rPr>
          <w:rFonts w:ascii="Arial" w:hAnsi="Arial"/>
          <w:b/>
          <w:sz w:val="21"/>
        </w:rPr>
        <w:t>2.6 Comparison with Recent Literature and Model Limitations</w:t>
      </w:r>
    </w:p>
    <w:p>
      <w:pPr>
        <w:spacing w:after="100"/>
      </w:pPr>
      <w:r>
        <w:t>Our model predictions agree with recent biophysical findings on condensate interfaces.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include: (i) an effective coarse-grained order parameter description where φ_tilde represents lattice occupancy rather than atomistic coordinates, (ii) implicit solvent treatment without explicit conformational dynamics, (iii) an idealized non-cooperative Langmuir adsorption isotherm, (iv) representation of borophene as an idealized passivated aqueous nanoflake without explicit chemical degradation kinetics, and (v) omission of local MXene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0.246,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(0.246, 0.872)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Kuhn Segment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Effective persistence / hydrodynamic correlation length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Parameters for aqueous-stabilized borophene nanoflakes and Ti3C2Tx MXene were calibrated from audited literature sources and geometric model estimates, as summarized in Table 2.</w:t>
      </w:r>
    </w:p>
    <w:p>
      <w:pPr>
        <w:spacing w:after="60"/>
      </w:pPr>
      <w:r>
        <w:rPr>
          <w:b/>
          <w:sz w:val="18"/>
        </w:rPr>
        <w:t>Table 2. Material-specific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Zeta Potential (pH 7.4)</w:t>
            </w:r>
          </w:p>
        </w:tc>
        <w:tc>
          <w:tcPr>
            <w:tcW w:type="dxa" w:w="1872"/>
            <w:shd w:fill="F8FAFC"/>
            <w:tcMar>
              <w:top w:w="80" w:type="dxa"/>
              <w:bottom w:w="80" w:type="dxa"/>
              <w:left w:w="100" w:type="dxa"/>
              <w:right w:w="100" w:type="dxa"/>
            </w:tcMar>
          </w:tcPr>
          <w:p>
            <w:pPr>
              <w:spacing w:after="40" w:before="40"/>
            </w:pPr>
            <w:r>
              <w:rPr>
                <w:rFonts w:ascii="Arial" w:hAnsi="Arial"/>
                <w:sz w:val="17"/>
              </w:rPr>
              <w:t>ψ_s</w:t>
            </w:r>
          </w:p>
        </w:tc>
        <w:tc>
          <w:tcPr>
            <w:tcW w:type="dxa" w:w="1872"/>
            <w:shd w:fill="F8FAFC"/>
            <w:tcMar>
              <w:top w:w="80" w:type="dxa"/>
              <w:bottom w:w="80" w:type="dxa"/>
              <w:left w:w="100" w:type="dxa"/>
              <w:right w:w="100" w:type="dxa"/>
            </w:tcMar>
          </w:tcPr>
          <w:p>
            <w:pPr>
              <w:spacing w:after="40" w:before="40"/>
            </w:pPr>
            <w:r>
              <w:rPr>
                <w:rFonts w:ascii="Arial" w:hAnsi="Arial"/>
                <w:sz w:val="17"/>
              </w:rPr>
              <w:t>-32.4 mV</w:t>
            </w:r>
          </w:p>
        </w:tc>
        <w:tc>
          <w:tcPr>
            <w:tcW w:type="dxa" w:w="1872"/>
            <w:shd w:fill="F8FAFC"/>
            <w:tcMar>
              <w:top w:w="80" w:type="dxa"/>
              <w:bottom w:w="80" w:type="dxa"/>
              <w:left w:w="100" w:type="dxa"/>
              <w:right w:w="100" w:type="dxa"/>
            </w:tcMar>
          </w:tcPr>
          <w:p>
            <w:pPr>
              <w:spacing w:after="40" w:before="40"/>
            </w:pPr>
            <w:r>
              <w:rPr>
                <w:rFonts w:ascii="Arial" w:hAnsi="Arial"/>
                <w:sz w:val="17"/>
              </w:rPr>
              <w:t>-65.0 mV</w:t>
            </w:r>
          </w:p>
        </w:tc>
        <w:tc>
          <w:tcPr>
            <w:tcW w:type="dxa" w:w="1872"/>
            <w:shd w:fill="F8FAFC"/>
            <w:tcMar>
              <w:top w:w="80" w:type="dxa"/>
              <w:bottom w:w="80" w:type="dxa"/>
              <w:left w:w="100" w:type="dxa"/>
              <w:right w:w="100" w:type="dxa"/>
            </w:tcMar>
          </w:tcPr>
          <w:p>
            <w:pPr>
              <w:spacing w:after="40" w:before="40"/>
            </w:pPr>
            <w:r>
              <w:rPr>
                <w:rFonts w:ascii="Arial" w:hAnsi="Arial"/>
                <w:sz w:val="17"/>
              </w:rPr>
              <w:t>Experimental Zeta Potential [13,28]</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1.25 h⁻¹</w:t>
            </w:r>
          </w:p>
        </w:tc>
        <w:tc>
          <w:tcPr>
            <w:tcW w:type="dxa" w:w="1872"/>
            <w:tcMar>
              <w:top w:w="80" w:type="dxa"/>
              <w:bottom w:w="80" w:type="dxa"/>
              <w:left w:w="100" w:type="dxa"/>
              <w:right w:w="100" w:type="dxa"/>
            </w:tcMar>
          </w:tcPr>
          <w:p>
            <w:pPr>
              <w:spacing w:after="40" w:before="40"/>
            </w:pPr>
            <w:r>
              <w:rPr>
                <w:rFonts w:ascii="Arial" w:hAnsi="Arial"/>
                <w:sz w:val="17"/>
              </w:rPr>
              <w:t>0.75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shd w:fill="F8FAFC"/>
            <w:tcMar>
              <w:top w:w="80" w:type="dxa"/>
              <w:bottom w:w="80" w:type="dxa"/>
              <w:left w:w="100" w:type="dxa"/>
              <w:right w:w="100" w:type="dxa"/>
            </w:tcMar>
          </w:tcPr>
          <w:p>
            <w:pPr>
              <w:spacing w:after="40" w:before="40"/>
            </w:pPr>
            <w:r>
              <w:rPr>
                <w:rFonts w:ascii="Arial" w:hAnsi="Arial"/>
                <w:sz w:val="17"/>
              </w:rPr>
              <w:t>Desorption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k_des</w:t>
            </w:r>
          </w:p>
        </w:tc>
        <w:tc>
          <w:tcPr>
            <w:tcW w:type="dxa" w:w="1872"/>
            <w:shd w:fill="F8FAFC"/>
            <w:tcMar>
              <w:top w:w="80" w:type="dxa"/>
              <w:bottom w:w="80" w:type="dxa"/>
              <w:left w:w="100" w:type="dxa"/>
              <w:right w:w="100" w:type="dxa"/>
            </w:tcMar>
          </w:tcPr>
          <w:p>
            <w:pPr>
              <w:spacing w:after="40" w:before="40"/>
            </w:pPr>
            <w:r>
              <w:rPr>
                <w:rFonts w:ascii="Arial" w:hAnsi="Arial"/>
                <w:sz w:val="17"/>
              </w:rPr>
              <w:t>0.04 h⁻¹</w:t>
            </w:r>
          </w:p>
        </w:tc>
        <w:tc>
          <w:tcPr>
            <w:tcW w:type="dxa" w:w="1872"/>
            <w:shd w:fill="F8FAFC"/>
            <w:tcMar>
              <w:top w:w="80" w:type="dxa"/>
              <w:bottom w:w="80" w:type="dxa"/>
              <w:left w:w="100" w:type="dxa"/>
              <w:right w:w="100" w:type="dxa"/>
            </w:tcMar>
          </w:tcPr>
          <w:p>
            <w:pPr>
              <w:spacing w:after="40" w:before="40"/>
            </w:pPr>
            <w:r>
              <w:rPr>
                <w:rFonts w:ascii="Arial" w:hAnsi="Arial"/>
                <w:sz w:val="17"/>
              </w:rPr>
              <w:t>0.12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Saltelli-Jansen variance decomposition was performed over the 8 parameter distributions detailed in Table 3. First-order (S_i) and total-effect (S_Ti) indices were computed by executing direct physical solvers for every sample.</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Data and Code Availability</w:t>
      </w:r>
    </w:p>
    <w:p>
      <w:pPr>
        <w:spacing w:after="100"/>
      </w:pPr>
      <w:r>
        <w:t>All numerical simulation codes, statistical thermodynamic solvers, master equation integrators, unit test suites, and figure generation routines are openly available at the project repository (https://github.com/sircalch/llps-tau-2d-nanomaterials). Complete simulation datasets and code will be permanently archived on Zenodo upon manuscript acceptance.</w:t>
      </w:r>
    </w:p>
    <w:p>
      <w:pPr>
        <w:spacing w:before="280" w:after="80"/>
      </w:pPr>
      <w:r>
        <w:rPr>
          <w:rFonts w:ascii="Arial" w:hAnsi="Arial"/>
          <w:b/>
          <w:sz w:val="25"/>
        </w:rPr>
        <w:t>5. Author Contributions</w:t>
      </w:r>
    </w:p>
    <w:p>
      <w:pPr>
        <w:spacing w:after="100"/>
      </w:pPr>
      <w:r>
        <w:t>A.M.H. conceived the project, developed the theoretical FH-VO model, performed numerical simulations, Sobol sensitivity analysis, and manuscript drafting. J.M.M.B. contributed to thermodynamic formulations, wetting derivations, and manuscript editing. S.L.F.A. contributed to biophysical validation, literature benchmarking, and manuscript review. C.I.M.O. performed statistical mechanics verification, dimensional consistency auditing, and manuscript editing. All authors approved the final manuscript.</w:t>
      </w:r>
    </w:p>
    <w:p>
      <w:pPr>
        <w:spacing w:before="280" w:after="80"/>
      </w:pPr>
      <w:r>
        <w:rPr>
          <w:rFonts w:ascii="Arial" w:hAnsi="Arial"/>
          <w:b/>
          <w:sz w:val="25"/>
        </w:rPr>
        <w:t>6. Competing Interests</w:t>
      </w:r>
    </w:p>
    <w:p>
      <w:pPr>
        <w:spacing w:after="100"/>
      </w:pPr>
      <w:r>
        <w:t>The authors declare no competing financial or non-financial interests.</w:t>
      </w:r>
    </w:p>
    <w:p>
      <w:pPr>
        <w:spacing w:before="280" w:after="80"/>
      </w:pPr>
      <w:r>
        <w:rPr>
          <w:rFonts w:ascii="Arial" w:hAnsi="Arial"/>
          <w:b/>
          <w:sz w:val="25"/>
        </w:rPr>
        <w:t>7. 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Ratto, M.; Andres, T.; Campolongo, F.; Cariboni, J.; Gatelli, D.; Saisana, M.; Tarantola, S. Global Sensitivity Analysis: The Primer; Wiley: Chichester, 2008.</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Mavridi-Printezi, A.; Vasileiou, C.; Ramis, R.; Ortega-Alarcon, D.; Vega, M. C.; Pastore, A.; Samitier, J.; Ventura, S.; Carulla, N. Global Structure of the Intrinsically Disordered Protein Tau Emerges from Its Local Structure.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