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both physiological compartmentalization and the nucleation of pathological amyloid aggregates. Here, we establish a physics-based, coarse-grained statistical-thermodynamic and kinetic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bulk phase separation model is parameterized against published Lower Critical Solution Temperature (LCST) and turbidity onset measurements of the Tau K18 repeat domain (Ambadipudi et al., Nat. Commun. 2017), where the order parameter φ_tilde represents the effective semi-dilute lattice site occupancy (scaled via s_phi = 0.950 mM⁻¹, yielding 100 µM ↔ φ_tilde_total = 0.095, with hydrodynamic radius Rh = 3.4 ± 0.6 nm, Stelzl et al., JACS Au 2022). A foundational feature of this formulation is that 2D interface-mediated LLPS suppression emerges self-consistently from explicit Langmuir adsorption mass balance governed by standard thermodynamic activity a = c / c° (where c° = 1.0 M; φ_tilde_total = φ_tilde_free + m_tilde_max θ_ads, with surface capacity c_max,ads = a_s Γ_max 10³⁰ / N_A [µM]), without empirical alterations to the intrinsic Flory interaction parameter (∂χ/∂a_s = 0). Using literature-audited scenario parameters, the model predicts a strong material-specific differentiation: stabilized borophene (ΔG_ads = -7.8 kcal/mol, contact angle θ_c = 50.3° with surface excess Δγ_s = 1.023 µN/m) shifts the apparent cloud point from 15.3 °C to 29.4 °C at C_nano = 100 µg/mL (interfacial area density a_s = 1.0×10⁻⁴ nm⁻¹ for SSA = 1000 m²/g), dissolving LLPS across room and sub-physiological temperatures and depleting ~60% monomer at 37 °C (c_free ≈ 41.4 µM), whereas Ti3C2Tx MXene (ΔG_ads = -5.2 kcal/mol, θ_c = 79.3° with Δγ_s = 0.296 µN/m) induces only partial depletion (c_free ≈ 87.6 µM at 100 µg/mL), maintaining stable condensate droplets across the loading window. Coupled master equations with strictly dimensional fluxes confirm that interfacial monomer sequestration retards secondary nucleation without altering the underlying intrinsic aggregation pathway. An 8-parameter Sobol global sensitivity analysis using SALib (Saltelli et al. estimator, N_base = 512, N_eval = 5120) identifies thermal LCST slope β (S_T = 0.56 ± 0.18), ionic strength I (S_T = 0.51 ± 0.18), and effective chain length N_eff (S_T = 0.47 ± 0.17) as the dominant, statistically overlapping thermodynamic parameter cluster, while interfacial area density a_s (S_T = 0.91 ± 0.09) dictates fibrillation arrest. This work provides quantitative physical principles for prospective modulation of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fully physical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stabilized borophene at C_nano = 100 µg/mL (a_s = 1.0×10⁻⁴ nm⁻¹ for SSA = 1000 m²/g), free monomer concentration drops by nearly 60% to c_free ≈ 41.4 µM, shifting the apparent cloud point to 29.4 °C and dissolving the condensate at temperatures below 29.4 °C. In contrast, Ti3C2Tx MXene, exhibiting weaker affinity (ΔG_ads = -5.2 kcal/mol vs -7.8 kcal/mol for borophene), produces only partial depletion (c_free ≈ 87.6 µM at 100 µg/mL), maintaining droplets stable throughout the 0–100 µg/mL loading window at 37 °C.</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nanosheet concentration C_nano (and interfacial area density a_s) at 37 °C, showing strong depletion for borophene vs weak partial depletion for MXene.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stabilized borophene, the solid-liquid surface energy excess evaluates to Δγ_s = 1.023 µN/m (derived directly from the Langmuir surface grand potential with η_eff = 0.20×10⁻³ and standard activity a = c/c°), yielding cos(θ_c) = 1.023 / 1.601 = 0.639 and θ_c = 50.3° at 37 °C. For Ti3C2Tx MXene,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stabilized borophene (red star, Δγ_s = 1.02 µN/m, θ_c = 50.3°) and Ti3C2Tx MXene (blue diamond, Δγ_s = 0.30 µN/m, θ_c = 79.3°)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The apparent cloud point T_cloud^app (Fig. 3a) was determined by solving the true thermodynamic binodal root φ_tilde_free(T, a_s) = φ_tilde_dilute(T) via Brent's method. For borophene, T_cloud^app shifts from 15.3 °C (control) up to 29.4 °C at 100 µg/mL, demonstrating a +14.1 °C thermal stabilization of the mixed state. For MXene, T_cloud^app increases modestly from 15.3 °C to 17.8 °C (+2.5 °C). Continuous wetting angles θ_c(T) across 15–50 °C with Monte Carlo 95% confidence intervals (Fig. 3b) remain in the partial wetting regime for both materials,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5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Material-specific quantitative comparison between Stabilized Borophene and Ti3C2Tx MXene. (a) True thermodynamic apparent cloud-point temperature T_cloud^app vs nanosheet loading C_nano solved via Brent's method.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100 µg/mL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data/sobol_indices_N512.csv using SALib (N_base = 512, N_eval = 5120, scrambled Sobol seed = 42, 95% bootstrap confidence intervals across 1000 resamples). For the apparent cloud point T_cloud^app (Fig. 5a), evaluated by directly executing the FH-VO Brent root solver for every sample, thermal LCST slope β (S_T = 0.56 ± 0.18), ionic strength I (S_T = 0.51 ± 0.18), and effective chain length N_eff (S_T = 0.47 ± 0.17) form a dominant, overlapping thermodynamic parameter cluster, followed by critical temperature Tc (S_T = 0.28 ± 0.13), with modest contributions from adsorption free energy ΔG_ads (S_T = 0.10 ± 0.03) and interfacial area density a_s (S_T = 0.08 ± 0.02).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0.10, total-effect S_T = 0.91 ± 0.09) and extraction rate k_ext (S_T = 0.12 ± 0.03) exert primary control, while pure thermodynamic parameters do not participate directly in the isolated droplet aging equations (S_1 = 0.000, S_T = 0.000). The model thus produces output-specific sensitivity partitions: macromolecular thermodynamics dictates phase coexistence, whereas nanosheet area density and extraction kinetics govern fibrillation arrest. Note that the phenomenological gradient correlation length b is treated as an effective fixed geometric scale anchored to experimental Rh and is not part of the 8-parameter Sobol variance decomposition. Figures 5c,d confirm that all total-effect indices achieve numerical stability across sub-block sample sizes N ∈ {64, 128, 256, 512}, with confidence intervals narrowing monotonically as 1/√N.</w:t>
      </w:r>
    </w:p>
    <w:p>
      <w:pPr>
        <w:spacing w:before="120" w:after="60"/>
        <w:jc w:val="center"/>
      </w:pPr>
    </w:p>
    <w:p>
      <w:r>
        <w:drawing>
          <wp:inline xmlns:a="http://schemas.openxmlformats.org/drawingml/2006/main" xmlns:pic="http://schemas.openxmlformats.org/drawingml/2006/picture">
            <wp:extent cx="5669280" cy="3995412"/>
            <wp:docPr id="5" name="Picture 5"/>
            <wp:cNvGraphicFramePr>
              <a:graphicFrameLocks noChangeAspect="1"/>
            </wp:cNvGraphicFramePr>
            <a:graphic>
              <a:graphicData uri="http://schemas.openxmlformats.org/drawingml/2006/picture">
                <pic:pic>
                  <pic:nvPicPr>
                    <pic:cNvPr id="0" name="Figure_4_Sobol_Sensitivity_LLPS.png"/>
                    <pic:cNvPicPr/>
                  </pic:nvPicPr>
                  <pic:blipFill>
                    <a:blip r:embed="rId13"/>
                    <a:stretch>
                      <a:fillRect/>
                    </a:stretch>
                  </pic:blipFill>
                  <pic:spPr>
                    <a:xfrm>
                      <a:off x="0" y="0"/>
                      <a:ext cx="5669280" cy="3995412"/>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data/sobol_indices_N512.csv and data/sobol_convergence_N512.csv. First-order (S_i) and total-effect (S_Ti) indices with 95% bootstrap confidence intervals for (a) apparent cloud point T_cloud^app (evaluated directly with FH-VO Brent root solver) and (b) fibrillation arrest M_final (evaluated directly via kinetic ODEs). (c,d) Convergence curves S_Ti(N) with error bars confirming numerical stability across dyadic sub-block sample sizes N ∈ {64, 128, 256, 512}.</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as an idealized passivated aqueous nanoflake without explicit chemical degradation kinetics. (vii)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Zeta Potential (pH 7.4)</w:t>
            </w:r>
          </w:p>
        </w:tc>
        <w:tc>
          <w:tcPr>
            <w:tcW w:type="dxa" w:w="1872"/>
            <w:shd w:fill="F8FAFC"/>
            <w:tcMar>
              <w:top w:w="80" w:type="dxa"/>
              <w:bottom w:w="80" w:type="dxa"/>
              <w:left w:w="100" w:type="dxa"/>
              <w:right w:w="100" w:type="dxa"/>
            </w:tcMar>
          </w:tcPr>
          <w:p>
            <w:pPr>
              <w:spacing w:after="40" w:before="40"/>
            </w:pPr>
            <w:r>
              <w:rPr>
                <w:rFonts w:ascii="Arial" w:hAnsi="Arial"/>
                <w:sz w:val="17"/>
              </w:rPr>
              <w:t>ψ_s</w:t>
            </w:r>
          </w:p>
        </w:tc>
        <w:tc>
          <w:tcPr>
            <w:tcW w:type="dxa" w:w="1872"/>
            <w:shd w:fill="F8FAFC"/>
            <w:tcMar>
              <w:top w:w="80" w:type="dxa"/>
              <w:bottom w:w="80" w:type="dxa"/>
              <w:left w:w="100" w:type="dxa"/>
              <w:right w:w="100" w:type="dxa"/>
            </w:tcMar>
          </w:tcPr>
          <w:p>
            <w:pPr>
              <w:spacing w:after="40" w:before="40"/>
            </w:pPr>
            <w:r>
              <w:rPr>
                <w:rFonts w:ascii="Arial" w:hAnsi="Arial"/>
                <w:sz w:val="17"/>
              </w:rPr>
              <w:t>-32.4 mV</w:t>
            </w:r>
          </w:p>
        </w:tc>
        <w:tc>
          <w:tcPr>
            <w:tcW w:type="dxa" w:w="1872"/>
            <w:shd w:fill="F8FAFC"/>
            <w:tcMar>
              <w:top w:w="80" w:type="dxa"/>
              <w:bottom w:w="80" w:type="dxa"/>
              <w:left w:w="100" w:type="dxa"/>
              <w:right w:w="100" w:type="dxa"/>
            </w:tcMar>
          </w:tcPr>
          <w:p>
            <w:pPr>
              <w:spacing w:after="40" w:before="40"/>
            </w:pPr>
            <w:r>
              <w:rPr>
                <w:rFonts w:ascii="Arial" w:hAnsi="Arial"/>
                <w:sz w:val="17"/>
              </w:rPr>
              <w:t>literature est.</w:t>
            </w:r>
          </w:p>
        </w:tc>
        <w:tc>
          <w:tcPr>
            <w:tcW w:type="dxa" w:w="1872"/>
            <w:shd w:fill="F8FAFC"/>
            <w:tcMar>
              <w:top w:w="80" w:type="dxa"/>
              <w:bottom w:w="80" w:type="dxa"/>
              <w:left w:w="100" w:type="dxa"/>
              <w:right w:w="100" w:type="dxa"/>
            </w:tcMar>
          </w:tcPr>
          <w:p>
            <w:pPr>
              <w:spacing w:after="40" w:before="40"/>
            </w:pPr>
            <w:r>
              <w:rPr>
                <w:rFonts w:ascii="Arial" w:hAnsi="Arial"/>
                <w:sz w:val="17"/>
              </w:rPr>
              <w:t>Borophene: Experimental [13]; MXene: value not independently confirmed at pH 7.4 — omitted from analysis</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1.25 h⁻¹</w:t>
            </w:r>
          </w:p>
        </w:tc>
        <w:tc>
          <w:tcPr>
            <w:tcW w:type="dxa" w:w="1872"/>
            <w:tcMar>
              <w:top w:w="80" w:type="dxa"/>
              <w:bottom w:w="80" w:type="dxa"/>
              <w:left w:w="100" w:type="dxa"/>
              <w:right w:w="100" w:type="dxa"/>
            </w:tcMar>
          </w:tcPr>
          <w:p>
            <w:pPr>
              <w:spacing w:after="40" w:before="40"/>
            </w:pPr>
            <w:r>
              <w:rPr>
                <w:rFonts w:ascii="Arial" w:hAnsi="Arial"/>
                <w:sz w:val="17"/>
              </w:rPr>
              <w:t>0.75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shd w:fill="F8FAFC"/>
            <w:tcMar>
              <w:top w:w="80" w:type="dxa"/>
              <w:bottom w:w="80" w:type="dxa"/>
              <w:left w:w="100" w:type="dxa"/>
              <w:right w:w="100" w:type="dxa"/>
            </w:tcMar>
          </w:tcPr>
          <w:p>
            <w:pPr>
              <w:spacing w:after="40" w:before="40"/>
            </w:pPr>
            <w:r>
              <w:rPr>
                <w:rFonts w:ascii="Arial" w:hAnsi="Arial"/>
                <w:sz w:val="17"/>
              </w:rPr>
              <w:t>Desorption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k_des</w:t>
            </w:r>
          </w:p>
        </w:tc>
        <w:tc>
          <w:tcPr>
            <w:tcW w:type="dxa" w:w="1872"/>
            <w:shd w:fill="F8FAFC"/>
            <w:tcMar>
              <w:top w:w="80" w:type="dxa"/>
              <w:bottom w:w="80" w:type="dxa"/>
              <w:left w:w="100" w:type="dxa"/>
              <w:right w:w="100" w:type="dxa"/>
            </w:tcMar>
          </w:tcPr>
          <w:p>
            <w:pPr>
              <w:spacing w:after="40" w:before="40"/>
            </w:pPr>
            <w:r>
              <w:rPr>
                <w:rFonts w:ascii="Arial" w:hAnsi="Arial"/>
                <w:sz w:val="17"/>
              </w:rPr>
              <w:t>0.04 h⁻¹</w:t>
            </w:r>
          </w:p>
        </w:tc>
        <w:tc>
          <w:tcPr>
            <w:tcW w:type="dxa" w:w="1872"/>
            <w:shd w:fill="F8FAFC"/>
            <w:tcMar>
              <w:top w:w="80" w:type="dxa"/>
              <w:bottom w:w="80" w:type="dxa"/>
              <w:left w:w="100" w:type="dxa"/>
              <w:right w:w="100" w:type="dxa"/>
            </w:tcMar>
          </w:tcPr>
          <w:p>
            <w:pPr>
              <w:spacing w:after="40" w:before="40"/>
            </w:pPr>
            <w:r>
              <w:rPr>
                <w:rFonts w:ascii="Arial" w:hAnsi="Arial"/>
                <w:sz w:val="17"/>
              </w:rPr>
              <w:t>0.12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512 was generated with a declared pseudo-random seed (seed = 42). Without second-order cross terms (calc_second_order = False), the radial design generates N_eval = N_base × (D + 2) = 5120 total physical model evaluations, evaluated directly through the FH-VO Brent root solver for T_cloud^app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{64, 128, 256, 512}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unit test suites, digitized literature data, and figure generation routines are openly available in the project GitHub repository (https://github.com/sircalch/llps-tau-2d-nanomaterials) supported by multiplatform continuous integration. A permanent public Zenodo archive with an immutable DOI will be minted upon tagged release following peer review.</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Mavridi-Printezi, A.; Vasileiou, C.; Ramis, R.; Ortega-Alarcon, D.; Vega, M. C.; Pastore, A.; Samitier, J.; Ventura, S.; Carulla, N.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