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are prone to pathological cross-β amyloid transitions. Here we establish a coarse-grained statistical-thermodynamic and kinetic framework that combines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shows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at room and sub-physiological temperatures and depleting ~60% of the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that the apparent cloud point depends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markedly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versatile platforms with 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remains lacking. In this study, we formulate a statistical-thermodynamic and kinetic framework in which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driven by the hydrophobic desolvation entropy of the repeat-domain hexapeptide motifs (VQIINK in R2 and VQIVYK in R3)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by Brent's method, consistent with the ~15 °C turbidity onset reported in Figure 2b of Ambadipudi et al. (Fig. 1a, inset) [5].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the free monomer concentration drops by nearly 60% to c_free ≈ 41.4 µM, shifting the apparent cloud point to 29.4 °C and dissolving the condensate below that temperature. In contrast, the Ti3C2Tx MXene-like scenario (Scenario 2, ΔG_ads = -5.2 kcal/mol), exhibiting weaker adsorption affinity, produces only partial depletion (c_free ≈ 87.6 µM at a_s = 1.0×10⁻⁴ nm⁻¹), leaving droplets stable across this area-density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moderate ionic strength preserves condensate stability, whereas elevated salt screens the electrostatic contribution and narrows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quantitatively compares the predicted behavior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thermodynamic binodal-crossing condition φ_tilde_free(T, a_s) = φ_tilde_dilute(T) by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Apparent cloud-point temperature T_cloud^app vs interfacial area density a_s, obtained by solving the binodal-crossing condition by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emphasize that this kinetic module is a prospective, normalized amyloid-aging model, since spontaneous fibrillation of pure Tau K18 without polyanionic cofactors such as heparin proceeds much more slowly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We extended the same 8-parameter Sobol design to a third output, the physiological (37 °C) wetting angle θ_c (Fig. 5c), evaluated directly from the bulk binodal and the Langmuir surface grand potential at every sample. Adsorption free energy ΔG_ads dominates (S_T = 0.67 ± 0.07), followed by the phenomenological coupling factor η_eff (S_T = 0.29 ± 0.04, which enters θ_c linearly through Δγ_s but has no effect on T_cloud^app or M_final) and thermal slope β (S_T = 0.21 ± 0.03); critical temperature, segment length and ionic strength contribute only weakly (S_T &lt; 0.04). As with the aging kinetics, area density a_s and extraction rate k_ext evaluate to exact structural zeros for θ_c,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(b) fibrillation arrest M_final (evaluated directly via kinetic ODEs), and (c) physiological wetting angle θ_c at 37 °C (evaluated directly from the bulk binodal and the Langmuir surface grand potential). (d-f) Block sensitivity trajectories S_Ti(N) across dyadic sub-block sample sizes N ∈ {128, 256, 512, 1024} for the same three outputs;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We state the model's limitations and domain of validity explicitly. (i) This work is deliberately formulated as a predictive theoretical study: bulk phase separation is parameterized against published Tau K18 turbidity measurements [5], whereas the nanomaterial-dependent adsorption, wetting, and kinetic outputs are presented as prospective, falsifiable model-scenario predictions rather than as direct experimental validation. (ii) Tau K18 is an experimentally well-characterized four-repeat (R1-R4) construct that contains the principal amyloidogenic hexapeptide motifs (VQIINK in R2, VQIVYK in R3); extrapolation to full-length Tau (Tau-441), which carries large charged projection domains and a distinct regulatory phosphorylation landscape, will require independent parameterization. (iii) φ_tilde is an effective coarse-grained order parameter representing lattice occupancy rather than atomistic coordinates. (iv) The solvent is treated implicitly, without explicit conformational dynamics. (v) The adsorption isotherm is idealized as non-cooperative Langmuir binding. (vi) Borophene and MXene are represented as idealized, stable 2D nanosheets, without explicit chemical oxidation or restacking kinetics. (vii) Local surface-termination micro-heterogeneity is not resolved. Future work combining all-atom molecular dynamics with continuum phase-field modeling would provide atomistic resolution of the 2D-interface-induced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and the critical parameters (φ_c = 0.247, χ_c = 0.872) are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The resulting contact angles are therefore conditional on η_eff. Young's equation then gives:</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Gaussian distributions for ΔG_ads (standard deviation 0.25 kcal/mol) and η_eff (standard deviation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the mass-conserving kinetic master equations for M_final, and the physiological (37 °C) wetting angle θ_c evaluated directly from the bulk binodal and the Langmuir surface grand potential (Section 3.4) for the same sample.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research received no specific grant from any funding agency in the public, commercial, or not-for-profit sectors, and no institutional support. Generative AI tools (large language models) were used to assist with code development, testing, and language editing; no figure, including the graphical abstract, contains AI-generated imagery. All models, analyses, results, and citations were designed, verified, and approved by the authors, who take full responsibility for the content.</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