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80"/>
        <w:jc w:val="left"/>
      </w:pPr>
      <w:r>
        <w:rPr>
          <w:sz w:val="20"/>
          <w:vertAlign w:val="superscript"/>
        </w:rPr>
        <w:t>*</w:t>
      </w:r>
      <w:r>
        <w:rPr>
          <w:sz w:val="20"/>
        </w:rPr>
        <w:t>E-mail: andres.monreal@ues.mx. ORCID: 0009-0009-1207-8597</w:t>
      </w:r>
    </w:p>
    <w:p>
      <w:pPr>
        <w:spacing w:after="280"/>
        <w:jc w:val="left"/>
      </w:pPr>
      <w:r>
        <w:rPr>
          <w:sz w:val="20"/>
        </w:rPr>
        <w:t>Running title: Auditing 2D drug-carrier screens</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and on it 17 of 28 drugs appeared to chemisorb,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jc w:val="left"/>
      </w:pPr>
      <w:r>
        <w:rPr>
          <w:b/>
        </w:rPr>
        <w:t>Keywords:</w:t>
      </w:r>
      <w:r>
        <w:rPr/>
        <w:t xml:space="preserve"> structure curation; molecular docking; tight binding; nested cross-validation; reproducibility</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1–4</w:t>
      </w:r>
      <w:r>
        <w:rPr/>
        <w:t>. A computational screen of such a carrier is inexpensive: the drug and the carrier are optimized with a semiempirical method such as GFN2-xTB,</w:t>
      </w:r>
      <w:r>
        <w:rPr>
          <w:vertAlign w:val="superscript"/>
        </w:rPr>
        <w:t>5</w:t>
      </w:r>
      <w:r>
        <w:rPr/>
        <w:t xml:space="preserve"> the drug is docked into its biological target with AutoDock Vina,</w:t>
      </w:r>
      <w:r>
        <w:rPr>
          <w:vertAlign w:val="superscript"/>
        </w:rPr>
        <w:t>6,7</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8–12</w:t>
      </w:r>
      <w:r>
        <w:rPr/>
        <w:t>, and the ways in which information leaks from test to training data are well documented</w:t>
      </w:r>
      <w:r>
        <w:rPr>
          <w:vertAlign w:val="superscript"/>
        </w:rPr>
        <w:t>13</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14–16</w:t>
      </w:r>
      <w:r>
        <w:rPr/>
        <w:t>, and in docking, where the ability of a program to reproduce known poses has to be demonstrated for each target</w:t>
      </w:r>
      <w:r>
        <w:rPr>
          <w:vertAlign w:val="superscript"/>
        </w:rPr>
        <w:t>17,18</w:t>
      </w:r>
      <w:r>
        <w:rPr/>
        <w:t xml:space="preserve"> and data sets can carry hidden biases</w:t>
      </w:r>
      <w:r>
        <w:rPr>
          <w:vertAlign w:val="superscript"/>
        </w:rPr>
        <w:t>19</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I). Before the audit, each existed as a code repository, a data set and a manuscript; the supporting files of all four, and a methods description built on them, had been deposited on Zenodo</w:t>
      </w:r>
      <w:r>
        <w:rPr>
          <w:vertAlign w:val="superscript"/>
        </w:rPr>
        <w:t>20–24</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 1). They are described below in the order of the failure modes they address.</w:t>
      </w:r>
    </w:p>
    <w:p>
      <w:pPr>
        <w:keepNext/>
        <w:jc w:val="center"/>
      </w:pPr>
      <w:r>
        <w:drawing>
          <wp:inline xmlns:a="http://schemas.openxmlformats.org/drawingml/2006/main" xmlns:pic="http://schemas.openxmlformats.org/drawingml/2006/picture">
            <wp:extent cx="6264000" cy="195078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950789"/>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a computational carrier screen and the eight checks of the audit. Each check is attached to the step it protects, and its number corresponds to the failure mode in the Results and to the checklist in Table II; the red line gives what the check found in the audit of the four studies. Images, from the rebuilt studies: MRTX1133; the B</w:t>
      </w:r>
      <w:r>
        <w:rPr>
          <w:sz w:val="20"/>
          <w:vertAlign w:val="subscript"/>
        </w:rPr>
        <w:t>36</w:t>
      </w:r>
      <w:r>
        <w:rPr>
          <w:sz w:val="20"/>
        </w:rPr>
        <w:t>N</w:t>
      </w:r>
      <w:r>
        <w:rPr>
          <w:sz w:val="20"/>
          <w:vertAlign w:val="subscript"/>
        </w:rPr>
        <w:t>36</w:t>
      </w:r>
      <w:r>
        <w:rPr>
          <w:sz w:val="20"/>
        </w:rPr>
        <w:t xml:space="preserve"> cage;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MXene; MRTX1133 adsorbed on g-C</w:t>
      </w:r>
      <w:r>
        <w:rPr>
          <w:sz w:val="20"/>
          <w:vertAlign w:val="subscript"/>
        </w:rPr>
        <w:t>3</w:t>
      </w:r>
      <w:r>
        <w:rPr>
          <w:sz w:val="20"/>
        </w:rPr>
        <w:t>N</w:t>
      </w:r>
      <w:r>
        <w:rPr>
          <w:sz w:val="20"/>
          <w:vertAlign w:val="subscript"/>
        </w:rPr>
        <w:t>4</w:t>
      </w:r>
      <w:r>
        <w:rPr>
          <w:sz w:val="20"/>
        </w:rPr>
        <w:t xml:space="preserve"> (GFN2-xTB); MRTX1133 docked in KRAS-G12D; a result table in which every row must point to an input structure and an output file; and out-of-fold predictions of the QSPR model of the KRAS interaction energy.</w:t>
      </w:r>
    </w:p>
    <w:p>
      <w:pPr>
        <w:ind w:firstLine="340"/>
        <w:jc w:val="both"/>
      </w:pPr>
      <w:r>
        <w:rPr>
          <w:i/>
        </w:rPr>
        <w:t>Compound identity.</w:t>
      </w:r>
      <w:r>
        <w:rPr/>
        <w:t xml:space="preserve"> The SMILES string of every drug was compared with the PubChem</w:t>
      </w:r>
      <w:r>
        <w:rPr>
          <w:vertAlign w:val="superscript"/>
        </w:rPr>
        <w:t>25</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 Pairs closer than 0.6 times the sum of the covalent radii, which no chemical bond reaches, were counted as overlapping atoms.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5</w:t>
      </w:r>
      <w:r>
        <w:rPr/>
        <w:t xml:space="preserve"> and GFN1-xTB</w:t>
      </w:r>
      <w:r>
        <w:rPr>
          <w:vertAlign w:val="superscript"/>
        </w:rPr>
        <w:t>26</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27</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28</w:t>
      </w:r>
      <w:r>
        <w:rPr/>
        <w:t>) with standardization inside the pipeline, nested five-fold cross-validation (five inner folds for the penalty), 1,000 Y-randomizations of the whole nested procedure</w:t>
      </w:r>
      <w:r>
        <w:rPr>
          <w:vertAlign w:val="superscript"/>
        </w:rPr>
        <w:t>11</w:t>
      </w:r>
      <w:r>
        <w:rPr/>
        <w:t>, and a leverage applicability domain</w:t>
      </w:r>
      <w:r>
        <w:rPr>
          <w:vertAlign w:val="superscript"/>
        </w:rPr>
        <w:t>8,9</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7</w:t>
      </w:r>
      <w:r>
        <w:rPr/>
        <w:t xml:space="preserve"> with Meeko and PDBFixer, RDKit, scikit-learn and, for the MXene, Quantum ESPRESSO 7.5</w:t>
      </w:r>
      <w:r>
        <w:rPr>
          <w:vertAlign w:val="superscript"/>
        </w:rPr>
        <w:t>29</w:t>
      </w:r>
      <w:r>
        <w:rPr/>
        <w:t xml:space="preserve"> with the PBE functional</w:t>
      </w:r>
      <w:r>
        <w:rPr>
          <w:vertAlign w:val="superscript"/>
        </w:rPr>
        <w:t>30</w:t>
      </w:r>
      <w:r>
        <w:rPr/>
        <w:t xml:space="preserve"> and D3 dispersion</w:t>
      </w:r>
      <w:r>
        <w:rPr>
          <w:vertAlign w:val="superscript"/>
        </w:rPr>
        <w:t>31</w:t>
      </w:r>
      <w:r>
        <w:rPr/>
        <w:t>. The scripts that extract the evidence for this paper from the four repositories and from the archive of the pre-rebuild files are part of its own repository.</w:t>
      </w:r>
    </w:p>
    <w:p>
      <w:pPr>
        <w:keepNext/>
        <w:spacing w:after="80"/>
      </w:pPr>
      <w:r>
        <w:rPr>
          <w:b/>
          <w:sz w:val="20"/>
        </w:rPr>
        <w:t>Table I</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adsorption of the alkylating agents is computed with periodic DFT (PBE-D3), because the tight-binding methods fail for it.</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14,16</w:t>
      </w:r>
      <w:r>
        <w:rPr/>
        <w:t>; it went unnoticed here because the SMILES strings had never been checked against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32</w:t>
      </w:r>
      <w:r>
        <w:rPr/>
        <w:t>. Worse, 36 of those B–N pairs were atoms placed almost on top of each other, as close as 0.57 Å.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33</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421685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4216852"/>
                    </a:xfrm>
                    <a:prstGeom prst="rect"/>
                  </pic:spPr>
                </pic:pic>
              </a:graphicData>
            </a:graphic>
          </wp:inline>
        </w:drawing>
      </w:r>
    </w:p>
    <w:p>
      <w:pPr>
        <w:spacing w:after="240" w:line="276" w:lineRule="auto"/>
        <w:jc w:val="both"/>
      </w:pPr>
      <w:r>
        <w:rPr>
          <w:b/>
          <w:sz w:val="20"/>
        </w:rPr>
        <w:t>Fig.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 (c) The three invalid carrier models, drawn with the bond criterion of the audit; bonds that the material cannot contain in amber. In the B</w:t>
      </w:r>
      <w:r>
        <w:rPr>
          <w:sz w:val="20"/>
          <w:vertAlign w:val="subscript"/>
        </w:rPr>
        <w:t>36</w:t>
      </w:r>
      <w:r>
        <w:rPr>
          <w:sz w:val="20"/>
        </w:rPr>
        <w:t>N</w:t>
      </w:r>
      <w:r>
        <w:rPr>
          <w:sz w:val="20"/>
          <w:vertAlign w:val="subscript"/>
        </w:rPr>
        <w:t>36</w:t>
      </w:r>
      <w:r>
        <w:rPr>
          <w:sz w:val="20"/>
        </w:rPr>
        <w:t xml:space="preserve"> model, pairs of boron and nitrogen atoms sit almost on top of each other.</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 3a, Table S3): the free flake contracted toward a compact boron cluster, and the computed binding energies contained the energy of that reconstruction. The classification of the drugs was affected as well: on the free flake 17 of 28 drugs appeared to chemisorb (Fig. 3b), and the version of the study deposited before the audit</w:t>
      </w:r>
      <w:r>
        <w:rPr>
          <w:vertAlign w:val="superscript"/>
        </w:rPr>
        <w:t>23</w:t>
      </w:r>
      <w:r>
        <w:rPr/>
        <w:t xml:space="preserve"> had reported 12 of 29 ligands as chemisorbed on the same flake. Borophene exists only on a supporting metal</w:t>
      </w:r>
      <w:r>
        <w:rPr>
          <w:vertAlign w:val="superscript"/>
        </w:rPr>
        <w:t>34,35</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none of them was the doped material: in 17 of them phosphorus had become four-coordinate, and in the other 2 the lattice had formed an N–N bond.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474513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4745137"/>
                    </a:xfrm>
                    <a:prstGeom prst="rect"/>
                  </pic:spPr>
                </pic:pic>
              </a:graphicData>
            </a:graphic>
          </wp:inline>
        </w:drawing>
      </w:r>
    </w:p>
    <w:p>
      <w:pPr>
        <w:spacing w:after="240" w:line="276" w:lineRule="auto"/>
        <w:jc w:val="both"/>
      </w:pPr>
      <w:r>
        <w:rPr>
          <w:b/>
          <w:sz w:val="20"/>
        </w:rPr>
        <w:t>Fig.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 (c) Galantamine, the extreme case: the free B</w:t>
      </w:r>
      <w:r>
        <w:rPr>
          <w:sz w:val="20"/>
          <w:vertAlign w:val="subscript"/>
        </w:rPr>
        <w:t>40</w:t>
      </w:r>
      <w:r>
        <w:rPr>
          <w:sz w:val="20"/>
        </w:rPr>
        <w:t>H</w:t>
      </w:r>
      <w:r>
        <w:rPr>
          <w:sz w:val="20"/>
          <w:vertAlign w:val="subscript"/>
        </w:rPr>
        <w:t>15</w:t>
      </w:r>
      <w:r>
        <w:rPr>
          <w:sz w:val="20"/>
        </w:rPr>
        <w:t xml:space="preserve"> flake relaxed alone, the same flake in the relaxed complex, which has collapsed into a three-dimensional cluster, and the supported β</w:t>
      </w:r>
      <w:r>
        <w:rPr>
          <w:sz w:val="20"/>
          <w:vertAlign w:val="subscript"/>
        </w:rPr>
        <w:t>12</w:t>
      </w:r>
      <w:r>
        <w:rPr>
          <w:sz w:val="20"/>
        </w:rPr>
        <w:t xml:space="preserve"> sheet in the relaxed complex (GFN2-xTB, side views).</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PBE-D3 lattice constant of the material (3.02 Å, computed here for the primitive cell with the settings of the case study), with a jump of 31.0 eV per formula unit between neighbouring points; GFN1-xTB failed to converge at 6 of 14 lattice constants and gave unphysical energies at 2 more (Fig. 4a). Finite flakes fared no better: 1 of 18 calculations on neutral flakes converged (Fig. 4b). Both methods were parametrized mainly on molecular data</w:t>
      </w:r>
      <w:r>
        <w:rPr>
          <w:vertAlign w:val="superscript"/>
        </w:rPr>
        <w:t>5,26</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PBE-D3 lattice constant computed for the primitive cell.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36</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37</w:t>
      </w:r>
      <w:r>
        <w:rPr/>
        <w:t>, the top-ranked pose still failed (5.9 and 7.6 Å), yet the crystal-like pose was present as mode 6 (1.13 Å), and all nine modes lay within 0.45 kcal mol</w:t>
      </w:r>
      <w:r>
        <w:rPr>
          <w:vertAlign w:val="superscript"/>
        </w:rPr>
        <w:t>−1</w:t>
      </w:r>
      <w:r>
        <w:rPr/>
        <w:t xml:space="preserve"> (Fig. 5b): the search found the pose, and the score could not rank it. Inspecting every mode, not only the first, distinguishes these cases</w:t>
      </w:r>
      <w:r>
        <w:rPr>
          <w:vertAlign w:val="superscript"/>
        </w:rPr>
        <w:t>17,18</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II,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II</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pristine carbon nitride and, for part of the drugs, chemisorption where the carrier offers a reactive site (the phosphorus of B/P-doped carbon nitride, the boron atoms of the nitride cage and, for 3 drugs, the borophene sheet), docking scores that are a ranking of fit rather than affinities, and descriptor models that predict their targets weakly or not at all.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Supporting Information</w:t>
      </w:r>
    </w:p>
    <w:p>
      <w:pPr>
        <w:jc w:val="both"/>
      </w:pPr>
      <w:r>
        <w:rPr/>
        <w:t>The Supporting Information contains the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Conflict of Interest</w:t>
      </w:r>
    </w:p>
    <w:p>
      <w:pPr>
        <w:jc w:val="both"/>
      </w:pPr>
      <w:r>
        <w:rPr/>
        <w:t>The author declares no competing interests.</w:t>
      </w:r>
    </w:p>
    <w:p>
      <w:pPr>
        <w:pStyle w:val="Heading1"/>
      </w:pPr>
      <w:r>
        <w:rPr/>
        <w:t>Use of AI Tools</w:t>
      </w:r>
    </w:p>
    <w:p>
      <w:r>
        <w:rPr>
          <w:b/>
          <w:highlight w:val="yellow"/>
        </w:rPr>
        <w:t>[AUTHOR TO COMPLETE BEFORE SUBMISSION: statement on the use of AI tools, as required by the journal.]</w:t>
      </w:r>
    </w:p>
    <w:p>
      <w:pPr>
        <w:pStyle w:val="Heading1"/>
      </w:pPr>
      <w:r>
        <w:rPr/>
        <w:t>References</w:t>
      </w:r>
    </w:p>
    <w:p>
      <w:pPr>
        <w:spacing w:after="60"/>
        <w:ind w:left="454" w:hanging="454"/>
      </w:pPr>
      <w:r>
        <w:rPr>
          <w:sz w:val="20"/>
        </w:rPr>
        <w:t xml:space="preserve">(1) Pourmadadi, M.; Rahmani, E.; Eshaghi, M. M.; Shamsabadipour, A.; Ghotekar, S.; Rahdar, A.; Romanholo Ferreira, L. F. Graphitic carbon nitride (g-C3N4) synthesis methods, surface functionalization, and drug delivery applications: A review. </w:t>
      </w:r>
      <w:r>
        <w:rPr>
          <w:i/>
          <w:sz w:val="20"/>
        </w:rPr>
        <w:t>J. Drug Delivery Sci. Technol.</w:t>
      </w:r>
      <w:r>
        <w:rPr>
          <w:sz w:val="20"/>
        </w:rPr>
        <w:t xml:space="preserve"> </w:t>
      </w:r>
      <w:r>
        <w:rPr>
          <w:b/>
          <w:sz w:val="20"/>
        </w:rPr>
        <w:t>2023</w:t>
      </w:r>
      <w:r>
        <w:rPr>
          <w:sz w:val="20"/>
        </w:rPr>
        <w:t xml:space="preserve">, </w:t>
      </w:r>
      <w:r>
        <w:rPr>
          <w:i/>
          <w:sz w:val="20"/>
        </w:rPr>
        <w:t>79</w:t>
      </w:r>
      <w:r>
        <w:rPr>
          <w:sz w:val="20"/>
        </w:rPr>
        <w:t>, 104001. https://doi.org/10.1016/j.jddst.2022.104001</w:t>
      </w:r>
    </w:p>
    <w:p>
      <w:pPr>
        <w:spacing w:after="60"/>
        <w:ind w:left="454" w:hanging="454"/>
      </w:pPr>
      <w:r>
        <w:rPr>
          <w:sz w:val="20"/>
        </w:rPr>
        <w:t xml:space="preserve">(2) Huang, K.; Li, Z.; Lin, J.; Han, G.; Huang, P. Two-dimensional transition metal carbides and nitrides (MXenes) for biomedical applications. </w:t>
      </w:r>
      <w:r>
        <w:rPr>
          <w:i/>
          <w:sz w:val="20"/>
        </w:rPr>
        <w:t>Chem. Soc. Rev.</w:t>
      </w:r>
      <w:r>
        <w:rPr>
          <w:sz w:val="20"/>
        </w:rPr>
        <w:t xml:space="preserve"> </w:t>
      </w:r>
      <w:r>
        <w:rPr>
          <w:b/>
          <w:sz w:val="20"/>
        </w:rPr>
        <w:t>2018</w:t>
      </w:r>
      <w:r>
        <w:rPr>
          <w:sz w:val="20"/>
        </w:rPr>
        <w:t xml:space="preserve">, </w:t>
      </w:r>
      <w:r>
        <w:rPr>
          <w:i/>
          <w:sz w:val="20"/>
        </w:rPr>
        <w:t>47</w:t>
      </w:r>
      <w:r>
        <w:rPr>
          <w:sz w:val="20"/>
        </w:rPr>
        <w:t>, 5109–5124. https://doi.org/10.1039/c7cs00838d</w:t>
      </w:r>
    </w:p>
    <w:p>
      <w:pPr>
        <w:spacing w:after="60"/>
        <w:ind w:left="454" w:hanging="454"/>
      </w:pPr>
      <w:r>
        <w:rPr>
          <w:sz w:val="20"/>
        </w:rPr>
        <w:t xml:space="preserve">(3) Li, W.; Zhao, T. Borophene as an carrier for mercaptopurine drug: electronic study via density‐functional theory computations. </w:t>
      </w:r>
      <w:r>
        <w:rPr>
          <w:i/>
          <w:sz w:val="20"/>
        </w:rPr>
        <w:t>J. Mol. Model.</w:t>
      </w:r>
      <w:r>
        <w:rPr>
          <w:sz w:val="20"/>
        </w:rPr>
        <w:t xml:space="preserve"> </w:t>
      </w:r>
      <w:r>
        <w:rPr>
          <w:b/>
          <w:sz w:val="20"/>
        </w:rPr>
        <w:t>2023</w:t>
      </w:r>
      <w:r>
        <w:rPr>
          <w:sz w:val="20"/>
        </w:rPr>
        <w:t xml:space="preserve">, </w:t>
      </w:r>
      <w:r>
        <w:rPr>
          <w:i/>
          <w:sz w:val="20"/>
        </w:rPr>
        <w:t>29</w:t>
      </w:r>
      <w:r>
        <w:rPr>
          <w:sz w:val="20"/>
        </w:rPr>
        <w:t>, 325. https://doi.org/10.1007/s00894-023-05724-z</w:t>
      </w:r>
    </w:p>
    <w:p>
      <w:pPr>
        <w:spacing w:after="60"/>
        <w:ind w:left="454" w:hanging="454"/>
      </w:pPr>
      <w:r>
        <w:rPr>
          <w:sz w:val="20"/>
        </w:rPr>
        <w:t xml:space="preserve">(4) Gholami, A.; Shakerzadeh, E.; Chigo Anota, E. Exploring the potential use of pristine and metal-encapsulated B36N36 fullerenes in delivery of β-lapachone anticancer drug: DFT approach. </w:t>
      </w:r>
      <w:r>
        <w:rPr>
          <w:i/>
          <w:sz w:val="20"/>
        </w:rPr>
        <w:t>Polyhedron</w:t>
      </w:r>
      <w:r>
        <w:rPr>
          <w:sz w:val="20"/>
        </w:rPr>
        <w:t xml:space="preserve"> </w:t>
      </w:r>
      <w:r>
        <w:rPr>
          <w:b/>
          <w:sz w:val="20"/>
        </w:rPr>
        <w:t>2023</w:t>
      </w:r>
      <w:r>
        <w:rPr>
          <w:sz w:val="20"/>
        </w:rPr>
        <w:t xml:space="preserve">, </w:t>
      </w:r>
      <w:r>
        <w:rPr>
          <w:i/>
          <w:sz w:val="20"/>
        </w:rPr>
        <w:t>232</w:t>
      </w:r>
      <w:r>
        <w:rPr>
          <w:sz w:val="20"/>
        </w:rPr>
        <w:t>, 116295. https://doi.org/10.1016/j.poly.2023.116295</w:t>
      </w:r>
    </w:p>
    <w:p>
      <w:pPr>
        <w:spacing w:after="60"/>
        <w:ind w:left="454" w:hanging="454"/>
      </w:pPr>
      <w:r>
        <w:rPr>
          <w:sz w:val="20"/>
        </w:rPr>
        <w:t xml:space="preserve">(5)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(6)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(7)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(8)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(9)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(10)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(11)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(12) Cherkasov, A.; Muratov, E. N.; Fourches, D.; Varnek, A.; Baskin, I. I.; Cronin, M.; Dearden, J.; Gramatica, P.; Martin, Y. C.; Todeschini, R.; Consonni, V.; Kuz’min, V. E.; Cramer, R.; Benigni, R.; Yang, C.; Rathman, J.; Terfloth, L.; Gasteiger, J.; Richard, A.; Tropsha, A.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(13)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(14)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(15)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(16)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(17) Warren, G. L.; Andrews, C. W.; Capelli, A.-M.; Clarke, B.; LaLonde, J.; Lambert, M. H.; Lindvall, M.; Nevins, N.; Semus, S. F.; Senger, S.; Tedesco, G.; Wall, I. D.; Woolven, J. M.; Peishoff, C. E.; Head, M. S.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(18) Bender, B. J.; Gahbauer, S.; Luttens, A.; Lyu, J.; Webb, C. M.; Stein, R. M.; Fink, E. A.; Balius, T. E.; Carlsson, J.; Irwin, J. J.; Shoichet, B. K.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(19)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(20)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(21)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(22)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(23)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(24)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(25) Kim, S.; Chen, J.; Cheng, T.; Gindulyte, A.; He, J.; He, S.; Li, Q.; Shoemaker, B. A.; Thiessen, P. A.; Yu, B.; Zaslavsky, L.; Zhang, J.; Bolton, E. E.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(26)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(27) RDKit: Open-Source Cheminformatics, version 2024.03. https://www.rdkit.org (accessed 2026-09-26).</w:t>
      </w:r>
    </w:p>
    <w:p>
      <w:pPr>
        <w:spacing w:after="60"/>
        <w:ind w:left="454" w:hanging="454"/>
      </w:pPr>
      <w:r>
        <w:rPr>
          <w:sz w:val="20"/>
        </w:rPr>
        <w:t>(28) Pedregosa, F.; Varoquaux, G.; Gramfort, A.; Michel, V.; Thirion, B.; Grisel, O.; Blondel, M.; Prettenhofer, P.; Weiss, R.; Dubourg, V.; Vanderplas, J.; Passos, A.; Cournapeau, D.; Brucher, M.; Perrot, M.; Duchesnay, E. Scikit-learn: Machine Learning in Python. J. Mach. Learn. Res. 2011, 12, 2825–2830.</w:t>
      </w:r>
    </w:p>
    <w:p>
      <w:pPr>
        <w:spacing w:after="60"/>
        <w:ind w:left="454" w:hanging="454"/>
      </w:pPr>
      <w:r>
        <w:rPr>
          <w:sz w:val="20"/>
        </w:rPr>
        <w:t xml:space="preserve">(29) Giannozzi, P.; Andreussi, O.; Brumme, T.; Bunau, O.; Buongiorno Nardelli, M.; Calandra, M.; Car, R.; Cavazzoni, C.; Ceresoli, D.; Cococcioni, M.; Colonna, N.; Carnimeo, I.; Dal Corso, A.; de Gironcoli, S.; Delugas, P.; DiStasio, R. A.; Ferretti, A.; Floris, A.; Fratesi, G.; Fugallo, G.; Gebauer, R.; Gerstmann, U.; Giustino, F.; Gorni, T.; Jia, J.; Kawamura, M.; Ko, H.-Y.; Kokalj, A.; Küçükbenli, E.; Lazzeri, M.; Marsili, M.; Marzari, N.; Mauri, F.; Nguyen, N. L.; Nguyen, H.-V.; Otero-de-la-Roza, A.; Paulatto, L.; Poncé, S.; Rocca, D.; Sabatini, R.; Santra, B.; Schlipf, M.; Seitsonen, A. P.; Smogunov, A.; Timrov, I.; Thonhauser, T.; Umari, P.; Vast, N.; Wu, X.; Baroni, S. Advanced capabilities for materials modelling with Quantum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(30)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(31)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(32)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(33)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(34)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(35) Mannix, A. J.; Zhou, X.-F.; Kiraly, B.; Wood, J. D.; Alducin, D.; Myers, B. D.; Liu, X.; Fisher, B. L.; Santiago, U.; Guest, J. R.; Yacaman, M. J.; Ponce, A.; Oganov, A. R.; Hersam, M. C.; Guisinger, N. P.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(36)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(37)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