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E-mail: andres.monreal@ues.mx. ORCID: 0009-0009-1207-8597</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which turned 17 of 28 drugs into apparent chemisorbers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1–5</w:t>
      </w:r>
      <w:r>
        <w:rPr/>
        <w:t>. A computational screen of such a carrier is inexpensive: the drug and the carrier are optimized with a semiempirical method such as GFN2-xTB,</w:t>
      </w:r>
      <w:r>
        <w:rPr>
          <w:vertAlign w:val="superscript"/>
        </w:rPr>
        <w:t>6</w:t>
      </w:r>
      <w:r>
        <w:rPr/>
        <w:t xml:space="preserve"> the drug is docked into its biological target with AutoDock Vina,</w:t>
      </w:r>
      <w:r>
        <w:rPr>
          <w:vertAlign w:val="superscript"/>
        </w:rPr>
        <w:t>7,8</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9–13</w:t>
      </w:r>
      <w:r>
        <w:rPr/>
        <w:t>, and the ways in which information leaks from test to training data are well documented</w:t>
      </w:r>
      <w:r>
        <w:rPr>
          <w:vertAlign w:val="superscript"/>
        </w:rPr>
        <w:t>14</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15–17</w:t>
      </w:r>
      <w:r>
        <w:rPr/>
        <w:t>, and in docking, where the ability of a program to reproduce known poses has to be demonstrated for each target</w:t>
      </w:r>
      <w:r>
        <w:rPr>
          <w:vertAlign w:val="superscript"/>
        </w:rPr>
        <w:t>18,19</w:t>
      </w:r>
      <w:r>
        <w:rPr/>
        <w:t xml:space="preserve"> and data sets can carry hidden biases</w:t>
      </w:r>
      <w:r>
        <w:rPr>
          <w:vertAlign w:val="superscript"/>
        </w:rPr>
        <w:t>20</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1). Before the audit, each existed as a code repository, a data set and a manuscript; the supporting files of all four, and a methods description built on them, had been deposited on Zenodo</w:t>
      </w:r>
      <w:r>
        <w:rPr>
          <w:vertAlign w:val="superscript"/>
        </w:rPr>
        <w:t>21–25</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(Figure 1). They are described below in the order of the failure modes they address.</w:t>
      </w:r>
    </w:p>
    <w:p>
      <w:pPr>
        <w:keepNext/>
        <w:jc w:val="center"/>
      </w:pPr>
      <w:r>
        <w:drawing>
          <wp:inline xmlns:a="http://schemas.openxmlformats.org/drawingml/2006/main" xmlns:pic="http://schemas.openxmlformats.org/drawingml/2006/picture">
            <wp:extent cx="6264000" cy="195078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950789"/>
                    </a:xfrm>
                    <a:prstGeom prst="rect"/>
                  </pic:spPr>
                </pic:pic>
              </a:graphicData>
            </a:graphic>
          </wp:inline>
        </w:drawing>
      </w:r>
    </w:p>
    <w:p>
      <w:pPr>
        <w:spacing w:after="240" w:line="276" w:lineRule="auto"/>
        <w:jc w:val="both"/>
      </w:pPr>
      <w:r>
        <w:rPr>
          <w:b/>
          <w:sz w:val="20"/>
        </w:rPr>
        <w:t>Figure 1.</w:t>
      </w:r>
      <w:r>
        <w:rPr>
          <w:sz w:val="20"/>
        </w:rPr>
        <w:t xml:space="preserve"> </w:t>
      </w:r>
      <w:r>
        <w:rPr>
          <w:sz w:val="20"/>
        </w:rPr>
        <w:t>Workflow of a computational carrier screen and the eight checks of the audit. Each check is attached to the step it protects, and its number corresponds to the failure mode in the Results and to the checklist in Table 2; the red line gives what the check found in the audit of the four studies. Images, from the rebuilt studies: MRTX1133; the B</w:t>
      </w:r>
      <w:r>
        <w:rPr>
          <w:sz w:val="20"/>
          <w:vertAlign w:val="subscript"/>
        </w:rPr>
        <w:t>36</w:t>
      </w:r>
      <w:r>
        <w:rPr>
          <w:sz w:val="20"/>
        </w:rPr>
        <w:t>N</w:t>
      </w:r>
      <w:r>
        <w:rPr>
          <w:sz w:val="20"/>
          <w:vertAlign w:val="subscript"/>
        </w:rPr>
        <w:t>36</w:t>
      </w:r>
      <w:r>
        <w:rPr>
          <w:sz w:val="20"/>
        </w:rPr>
        <w:t xml:space="preserve"> cage;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MXene; MRTX1133 adsorbed on g-C</w:t>
      </w:r>
      <w:r>
        <w:rPr>
          <w:sz w:val="20"/>
          <w:vertAlign w:val="subscript"/>
        </w:rPr>
        <w:t>3</w:t>
      </w:r>
      <w:r>
        <w:rPr>
          <w:sz w:val="20"/>
        </w:rPr>
        <w:t>N</w:t>
      </w:r>
      <w:r>
        <w:rPr>
          <w:sz w:val="20"/>
          <w:vertAlign w:val="subscript"/>
        </w:rPr>
        <w:t>4</w:t>
      </w:r>
      <w:r>
        <w:rPr>
          <w:sz w:val="20"/>
        </w:rPr>
        <w:t xml:space="preserve"> (GFN2-xTB); MRTX1133 docked in KRAS-G12D; a result table in which every row must point to an input structure and an output file; and out-of-fold predictions of the QSPR model of the KRAS interaction energy.</w:t>
      </w:r>
    </w:p>
    <w:p>
      <w:pPr>
        <w:ind w:firstLine="340"/>
        <w:jc w:val="both"/>
      </w:pPr>
      <w:r>
        <w:rPr>
          <w:i/>
        </w:rPr>
        <w:t>Compound identity.</w:t>
      </w:r>
      <w:r>
        <w:rPr/>
        <w:t xml:space="preserve"> The SMILES string of every drug was compared with the PubChem</w:t>
      </w:r>
      <w:r>
        <w:rPr>
          <w:vertAlign w:val="superscript"/>
        </w:rPr>
        <w:t>26</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6</w:t>
      </w:r>
      <w:r>
        <w:rPr/>
        <w:t xml:space="preserve"> and GFN1-xTB</w:t>
      </w:r>
      <w:r>
        <w:rPr>
          <w:vertAlign w:val="superscript"/>
        </w:rPr>
        <w:t>27</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28</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29</w:t>
      </w:r>
      <w:r>
        <w:rPr/>
        <w:t>) with standardization inside the pipeline, nested five-fold cross-validation (five inner folds for the penalty), 1,000 Y-randomizations of the whole nested procedure</w:t>
      </w:r>
      <w:r>
        <w:rPr>
          <w:vertAlign w:val="superscript"/>
        </w:rPr>
        <w:t>12</w:t>
      </w:r>
      <w:r>
        <w:rPr/>
        <w:t>, and a leverage applicability domain</w:t>
      </w:r>
      <w:r>
        <w:rPr>
          <w:vertAlign w:val="superscript"/>
        </w:rPr>
        <w:t>9,10</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8</w:t>
      </w:r>
      <w:r>
        <w:rPr/>
        <w:t xml:space="preserve"> with Meeko and PDBFixer, RDKit, scikit-learn and, for the MXene, Quantum ESPRESSO 7.5</w:t>
      </w:r>
      <w:r>
        <w:rPr>
          <w:vertAlign w:val="superscript"/>
        </w:rPr>
        <w:t>30</w:t>
      </w:r>
      <w:r>
        <w:rPr/>
        <w:t xml:space="preserve"> with the PBE functional</w:t>
      </w:r>
      <w:r>
        <w:rPr>
          <w:vertAlign w:val="superscript"/>
        </w:rPr>
        <w:t>31</w:t>
      </w:r>
      <w:r>
        <w:rPr/>
        <w:t xml:space="preserve"> and D3 dispersion</w:t>
      </w:r>
      <w:r>
        <w:rPr>
          <w:vertAlign w:val="superscript"/>
        </w:rPr>
        <w:t>32</w:t>
      </w:r>
      <w:r>
        <w:rPr/>
        <w:t>. The scripts that extract the evidence for this paper from the four repositories and from the archive of the pre-rebuild files are part of its own repository.</w:t>
      </w:r>
    </w:p>
    <w:p>
      <w:pPr>
        <w:keepNext/>
        <w:spacing w:after="80"/>
      </w:pPr>
      <w:r>
        <w:rPr>
          <w:b/>
          <w:sz w:val="20"/>
        </w:rPr>
        <w:t>Table 1</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periodic DFT adsorption was computed for the alkylating agents.</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(Figure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15,17</w:t>
      </w:r>
      <w:r>
        <w:rPr/>
        <w:t>; it went unnoticed here because the SMILES strings had not been retrieved from, or compared with,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(Figure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5</w:t>
      </w:r>
      <w:r>
        <w:rPr/>
        <w:t>.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1</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2756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756558"/>
                    </a:xfrm>
                    <a:prstGeom prst="rect"/>
                  </pic:spPr>
                </pic:pic>
              </a:graphicData>
            </a:graphic>
          </wp:inline>
        </w:drawing>
      </w:r>
    </w:p>
    <w:p>
      <w:pPr>
        <w:spacing w:after="240" w:line="276" w:lineRule="auto"/>
        <w:jc w:val="both"/>
      </w:pPr>
      <w:r>
        <w:rPr>
          <w:b/>
          <w:sz w:val="20"/>
        </w:rPr>
        <w:t>Figure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(Figure 3a, Table S3): the free flake contracted toward a compact boron cluster, and the computed binding energies contained the energy of that reconstruction. The classification of the drugs followed: 17 of 28 appeared to chemisorb (Figure 3b), and the earlier version of this work presented that result as a hidden chemisorption regime. Borophene exists only on a supporting metal</w:t>
      </w:r>
      <w:r>
        <w:rPr>
          <w:vertAlign w:val="superscript"/>
        </w:rPr>
        <w:t>3,4</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in all of them phosphorus had become four-coordinate or the lattice had reconstructed.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252096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520963"/>
                    </a:xfrm>
                    <a:prstGeom prst="rect"/>
                  </pic:spPr>
                </pic:pic>
              </a:graphicData>
            </a:graphic>
          </wp:inline>
        </w:drawing>
      </w:r>
    </w:p>
    <w:p>
      <w:pPr>
        <w:spacing w:after="240" w:line="276" w:lineRule="auto"/>
        <w:jc w:val="both"/>
      </w:pPr>
      <w:r>
        <w:rPr>
          <w:b/>
          <w:sz w:val="20"/>
        </w:rPr>
        <w:t>Figure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33</w:t>
      </w:r>
      <w:r>
        <w:rPr/>
        <w:t>), with a jump of 31.0 eV per formula unit between neighbouring points; GFN1-xTB failed to converge at 6 of 14 lattice constants and gave unphysical energies at 2 more (Figure 4a). Finite flakes fared no better: 1 of 18 calculations on neutral flakes converged (Figure 4b). Both methods were parametrized mainly on molecular data</w:t>
      </w:r>
      <w:r>
        <w:rPr>
          <w:vertAlign w:val="superscript"/>
        </w:rPr>
        <w:t>6,27</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Figure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(Figure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34</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35</w:t>
      </w:r>
      <w:r>
        <w:rPr/>
        <w:t>, the top-ranked pose still failed (5.9 and 7.6 Å), yet the crystal-like pose was present as mode 6 (1.13 Å), and all nine modes lay within 0.45 kcal mol</w:t>
      </w:r>
      <w:r>
        <w:rPr>
          <w:vertAlign w:val="superscript"/>
        </w:rPr>
        <w:t>−1</w:t>
      </w:r>
      <w:r>
        <w:rPr/>
        <w:t xml:space="preserve"> (Figure 5b): the search found the pose, and the score could not rank it. Inspecting every mode, not only the first, distinguishes these cases</w:t>
      </w:r>
      <w:r>
        <w:rPr>
          <w:vertAlign w:val="superscript"/>
        </w:rPr>
        <w:t>18,19</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Figure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(Figure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(Figure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Figure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2,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2</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the undoped carriers and chemisorption where the carrier offers a reactive site (the phosphorus of B/P-doped carbon nitride, the boron of the nitride cage), docking scores that are a ranking of fit rather than affinities, and descriptor models that do not predict adsorption energies usefully.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Associated Content</w:t>
      </w:r>
    </w:p>
    <w:p>
      <w:pPr>
        <w:jc w:val="both"/>
      </w:pPr>
      <w:r>
        <w:rPr>
          <w:b/>
        </w:rPr>
        <w:t>Supporting Information.</w:t>
      </w:r>
      <w:r>
        <w:rPr/>
        <w:t xml:space="preserve"> The Supporting Information is available free of charge: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Author Information</w:t>
      </w:r>
    </w:p>
    <w:p>
      <w:pPr>
        <w:jc w:val="both"/>
      </w:pPr>
      <w:r>
        <w:rPr/>
        <w:t>Corresponding author: Andrés Monreal Hernández, andres.monreal@ues.mx. ORCID: 0009-0009-1207-8597. Notes: the author declares no competing financial interest.</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(2) Naguib, M.; Kurtoglu, M.; Presser, V.; Lu, J.; Niu, J.; Heon, M.; Hultman, L.; Gogotsi, Y.; Barsoum, M. W. Two-Dimensional Nanocrystals Produced by Exfoliation of Ti3AlC2. </w:t>
      </w:r>
      <w:r>
        <w:rPr>
          <w:i/>
          <w:sz w:val="20"/>
        </w:rPr>
        <w:t>Adv. Mater.</w:t>
      </w:r>
      <w:r>
        <w:rPr>
          <w:sz w:val="20"/>
        </w:rPr>
        <w:t xml:space="preserve"> </w:t>
      </w:r>
      <w:r>
        <w:rPr>
          <w:b/>
          <w:sz w:val="20"/>
        </w:rPr>
        <w:t>2011</w:t>
      </w:r>
      <w:r>
        <w:rPr>
          <w:sz w:val="20"/>
        </w:rPr>
        <w:t xml:space="preserve">, </w:t>
      </w:r>
      <w:r>
        <w:rPr>
          <w:i/>
          <w:sz w:val="20"/>
        </w:rPr>
        <w:t>23</w:t>
      </w:r>
      <w:r>
        <w:rPr>
          <w:sz w:val="20"/>
        </w:rPr>
        <w:t>, 4248–4253. https://doi.org/10.1002/adma.201102306</w:t>
      </w:r>
    </w:p>
    <w:p>
      <w:pPr>
        <w:spacing w:after="60"/>
        <w:ind w:left="454" w:hanging="454"/>
      </w:pPr>
      <w:r>
        <w:rPr>
          <w:sz w:val="20"/>
        </w:rPr>
        <w:t xml:space="preserve">(3) Mannix, A. J.; Zhou, X.-F.; Kiraly, B.; Wood, J. D.; Alducin, D.; Myers, B. D.; Liu, X.; Fisher, B. L.; Santiago, U.; Guest, J. R.; et al.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(5)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(6)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(7)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(8)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(9)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(10)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(11)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(12)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(13) Cherkasov, A.; Muratov, E. N.; Fourches, D.; Varnek, A.; Baskin, I. I.; Cronin, M.; Dearden, J.; Gramatica, P.; Martin, Y. C.; Todeschini, R.; et al.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(14)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(15)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(16)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(17)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(18) Warren, G. L.; Andrews, C. W.; Capelli, A.-M.; Clarke, B.; LaLonde, J.; Lambert, M. H.; Lindvall, M.; Nevins, N.; Semus, S. F.; Senger, S.; et al.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(19) Bender, B. J.; Gahbauer, S.; Luttens, A.; Lyu, J.; Webb, C. M.; Stein, R. M.; Fink, E. A.; Balius, T. E.; Carlsson, J.; Irwin, J. J.; et al.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(20)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(21)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(22)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(23)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(24)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(25)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(26) Kim, S.; Chen, J.; Cheng, T.; Gindulyte, A.; He, J.; He, S.; Li, Q.; Shoemaker, B. A.; Thiessen, P. A.; Yu, B.; et al.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(27)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(28) RDKit: Open-Source Cheminformatics, version 2024.03. https://www.rdkit.org (accessed 2026-09-26).</w:t>
      </w:r>
    </w:p>
    <w:p>
      <w:pPr>
        <w:spacing w:after="60"/>
        <w:ind w:left="454" w:hanging="454"/>
      </w:pPr>
      <w:r>
        <w:rPr>
          <w:sz w:val="20"/>
        </w:rPr>
        <w:t>(29) Pedregosa, F.; Varoquaux, G.; Gramfort, A.; Michel, V.; Thirion, B.; Grisel, O.; Blondel, M.; Prettenhofer, P.; Weiss, R.; Dubourg, V.; et al. Scikit-learn: Machine Learning in Python. J. Mach. Learn. Res. 2011, 12, 2825–2830.</w:t>
      </w:r>
    </w:p>
    <w:p>
      <w:pPr>
        <w:spacing w:after="60"/>
        <w:ind w:left="454" w:hanging="454"/>
      </w:pPr>
      <w:r>
        <w:rPr>
          <w:sz w:val="20"/>
        </w:rPr>
        <w:t xml:space="preserve">(30) Giannozzi, P.; Andreussi, O.; Brumme, T.; Bunau, O.; Buongiorno Nardelli, M.; Calandra, M.; Car, R.; Cavazzoni, C.; Ceresoli, D.; Cococcioni, M.; et al. Advanced capabilities for materials modelling with Q 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(31)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(32)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(33)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(34)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(35)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