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>Andrés Monreal Hernández, Ph.D.</w:t>
        <w:br/>
        <w:t>Universidad Estatal de Sonora</w:t>
        <w:br/>
        <w:t>Hermosillo, Sonora, Mexico</w:t>
        <w:br/>
        <w:t>Email: andres.monreal@ues.mx | ORCID: 0009-0009-1207-8597</w:t>
        <w:br/>
        <w:t>Date: September 13, 2026</w:t>
        <w:br/>
      </w:r>
    </w:p>
    <w:p>
      <w:pPr>
        <w:spacing w:after="240"/>
      </w:pPr>
      <w:r>
        <w:t>To: The Editor-in-Chief</w:t>
        <w:br/>
        <w:t>Beilstein Journal of Nanotechnology</w:t>
        <w:br/>
        <w:t>Beilstein-Institut, Frankfurt am Main, Germany</w:t>
        <w:br/>
      </w:r>
    </w:p>
    <w:p>
      <w:pPr>
        <w:spacing w:after="240"/>
      </w:pPr>
      <w:r>
        <w:rPr>
          <w:b/>
        </w:rPr>
        <w:t>Subject: Submission of a Perspective Article</w:t>
      </w:r>
    </w:p>
    <w:p>
      <w:r>
        <w:t>Dear Editor-in-Chief,</w:t>
      </w:r>
    </w:p>
    <w:p>
      <w:r>
        <w:t>On behalf of my co-authors (Sara Lizbeth Franco Amaya, Carlos Ivanhoe Martínez Osorio, and myself), I am pleased to submit our manuscript for consideration as a Perspective article:</w:t>
      </w:r>
    </w:p>
    <w:p>
      <w:pPr>
        <w:spacing w:after="200"/>
        <w:ind w:left="576"/>
      </w:pPr>
      <w:r>
        <w:rPr>
          <w:b/>
          <w:color w:val="0D47A1"/>
        </w:rPr>
        <w:t>“Don't Fool Yourself When Screening 2D-Nanomaterial Drug Carriers: A Reproducible GFN2-xTB + Docking + Leak-Free QSAR Pipeline, Four Disease Case Studies, and a Cautionary Tale”</w:t>
      </w:r>
    </w:p>
    <w:p>
      <w:r>
        <w:t>This Perspective distills a methodological lesson from four independent computational drug-carrier screens we have carried out for unrelated disease systems (KRAS-G12D/pancreatic cancer on graphitic carbon nitride; glioblastoma on Ti3C2Tx MXene; triple-negative breast cancer on a B36N36 nanocage; Alzheimer's Tau on β12 borophene). We describe a single reproducible pipeline — relaxed-geometry GFN2-xTB adsorption modeling, AutoDock Vina docking with an explicit pose-recovery check, and a leak-free nested cross-validated QSPR surrogate — and show, with a genuine before/after result from our own Tau/borophene work, what an unrelaxed single-point adsorption geometry can hide: our first pass at that system reported an inert-looking physisorption energy for a surface that, once the complex was actually geometry-optimized, turned out to chemisorb 12 of 29 screened ligands through a new covalent bond. We believe this fits the journal's Perspective format directly — a constructive, critical discussion of a recurring methodological pitfall in a field of active interest to your readership, illustrated with a concrete, corrected, and fully reproducible worked example rather than a purely abstract argument.</w:t>
      </w:r>
    </w:p>
    <w:p>
      <w:r>
        <w:t>Every quantitative claim in the manuscript is drawn from the four underlying case studies, each independently archived with open code and data at its own Zenodo deposit (DOIs 10.5281/zenodo.22187819, 22187857, 22187834, and 22187873).</w:t>
      </w:r>
    </w:p>
    <w:p>
      <w:r>
        <w:t>All authors have approved the manuscript and confirm no competing interests.</w:t>
      </w:r>
    </w:p>
    <w:p>
      <w:pPr>
        <w:spacing w:before="280"/>
      </w:pPr>
      <w:r>
        <w:t>Sincerely,</w:t>
        <w:br/>
        <w:br/>
        <w:t>Andrés Monreal Hernández, Ph.D. (Corresponding Author)</w:t>
        <w:br/>
        <w:t>Universidad Estatal de Sonora, Mexico</w:t>
        <w:br/>
        <w:t>Email: andres.monreal@ues.mx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