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</w:rPr>
        <w:t>Date: August 31, 2026</w:t>
        <w:br/>
        <w:br/>
        <w:t>To:</w:t>
        <w:br/>
        <w:t>Prof. Dr. Salvatore Guccione</w:t>
        <w:br/>
        <w:t>Editor-in-Chief, Molecular Diversity</w:t>
        <w:br/>
        <w:t>Springer Nature</w:t>
      </w:r>
    </w:p>
    <w:p>
      <w:pPr>
        <w:spacing w:after="200"/>
      </w:pPr>
      <w:r>
        <w:rPr>
          <w:b/>
          <w:color w:val="004D40"/>
        </w:rPr>
        <w:t>Subject: Submission of Original Research Article titled 'Quantum-Chemical Modeling and Machine Learning-Driven Nano-QSAR of Functionalized 2D Titanium Carbide MXene Nanosheets for Targeted Glioblastoma Therapeutics Delivery'</w:t>
      </w:r>
    </w:p>
    <w:p>
      <w:pPr>
        <w:spacing w:after="160" w:line="276" w:lineRule="auto"/>
      </w:pPr>
      <w:r>
        <w:t>Dear Prof. Dr. Salvatore Guccione and Editorial Board Members,</w:t>
        <w:br/>
        <w:br/>
        <w:t>We are pleased to submit our original research manuscript entitled 'Quantum-Chemical Modeling and Machine Learning-Driven Nano-QSAR of Functionalized 2D Titanium Carbide MXene Nanosheets for Targeted Glioblastoma Therapeutics Delivery' for consideration for publication in Molecular Diversity.</w:t>
        <w:br/>
        <w:br/>
        <w:t>Glioblastoma Multiforme (GBM) remains the most aggressive and lethal primary brain malignancy, characterized by near-universal resistance to conventional chemotherapy (Temozolomide) and severe blood-brain barrier (BBB) penetration challenges. In this study, we present an integrated computational chemistry, Explainable AI (XAI), and nano-QSAR framework evaluating the supramolecular loading, quantum-chemical interaction space, and receptor target engagement of two-dimensional titanium carbide MXene (Ti3C2Tx) nanosheets across N=35 curated neuro-oncology therapeutics. This work directly aligns with the core scope of Molecular Diversity in computational molecular design, structure-property relationships, AI/ML surrogate modeling, and chemical library prioritization.</w:t>
        <w:br/>
        <w:br/>
        <w:t>Key Highlights of our Investigation:</w:t>
        <w:br/>
        <w:t>1. Oncogenic EGFRvIII Kinase Docking: High-resolution docking on the crystal structure of human EGFRvIII (PDB ID: 2J6M / 4ZAU) mapped binding poses and key catalytic interactions (Lys745, Met793).</w:t>
        <w:br/>
        <w:t>2. Standardized Quantum Interaction Energetics: Evaluated tight-binding GFN2-xTB standardized intermolecular interactions (Delta_E_int,std = -19.4 to -42.5 kcal/mol) across pristine Ti3C2O2 and functionalized MXene configurations.</w:t>
        <w:br/>
        <w:t>3. Multilevel DFT Benchmark: Validated GFN2-xTB against higher-level dispersion-corrected DFT single-point reference calculations (ORCA 6.1.1, B3LYP-D3BJ/def2-SVP) across representative neuro-oncology drugs (MAE = 1.77 kcal/mol).</w:t>
        <w:br/>
        <w:t>4. OECD-Aligned Nano-QSAR Surrogate Modeling: Developed a leak-free nested cross-validated surrogate model with prespecified physicochemical &amp; CDFT descriptors (Q²_CV = +0.598, RMSE = 4.92 kcal/mol), verified against chance correlation by 1,000 Y-scrambling permutations (empirical p = 0.001).</w:t>
        <w:br/>
        <w:t>5. Complete Open Science &amp; Reproducibility: All codes, coordinates, and models are publicly accessible on GitHub (https://github.com/sircalch/mxene-glioblastoma-qsar-ai) and permanently archived under Zenodo DOI 10.5281/zenodo.22187857.</w:t>
        <w:br/>
        <w:br/>
        <w:t>Suggested Independent Reviewers:</w:t>
        <w:br/>
        <w:t>1. Prof. Dr. Yury Gogotsi (Drexel University, USA) - Pioneer in MXene synthesis, 2D materials, and biomedical applications. Email: gogotsi@drexel.edu</w:t>
        <w:br/>
        <w:t>2. Prof. Dr. Stefan Grimme (Universität Bonn, Germany) - Expert in semiempirical tight-binding methods (GFN-xTB) and dispersion corrections. Email: grimme@thch.uni-bonn.de</w:t>
        <w:br/>
        <w:t>3. Prof. Dr. Alexandre Varnek (University of Strasbourg, France) - Expert in chemoinformatics and QSAR/QSPR modeling. Email: varnek@unistra.fr</w:t>
        <w:br/>
        <w:t>4. Prof. Dr. Webster K. Cavenee (Ludwig Institute for Cancer Research / UCSD) - Pioneer in EGFRvIII biology and Glioblastoma molecular therapeutics. Email: wcavenee@health.ucsd.edu</w:t>
        <w:br/>
        <w:br/>
        <w:t>Thank you very much for your time and consideration of our manuscript.</w:t>
        <w:br/>
        <w:br/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