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1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characterized by median survival below 15 months due to severe therapeutic resistance and the restrictive physiology of the blood-brain barrier (BBB). Here, we establish an integrated multi-scale quantum chemical (DFTB3-D4), physical molecular docking (AutoDock Vina v1.2.7 against the crystal structure of human EGFR kinase domain, PDB ID: 4UV7, 1.90 Å), and Explainable Machine Learning Nano-QSAR architecture evaluating 2D Titanium Carbide MXene (Ti3C2Tx) nanosheets engineered with Angiopep-2 functionalization for LRP-1 receptor-mediated transcytosis. A library of 35 clinical CNS and GBM therapeutics was systematically curated. Quantum adsorption modeling demonstrated high thermodynamic stability (Delta_E_ads = -22.5 to -78.4 kcal/mol) on Ti3C2O2 and Ti3C2(OH)2-Angiopep-2 interfaces. Physical molecular docking revealed robust binding (-3.32 to -6.46 kcal/mol) with critical catalytic residues (Asp392, His394, Arg427, Thr391). Machine Learning algorithms (ExtraTrees and XGBoost) achieved remarkable generalization accuracy (test MAPE = 3.95%–4.69%, R2 &gt; 0.90), corroborated by SHAP explainability and OECD Principle 3 Williams domain leverage validation. This work establishes a quantitative blueprint for 2D MXene-based nanovehicles surmounting neuro-oncological barriers.</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represents the most aggressive and pervasive primary brain tumor in human adults. Standard-of-care protocols combining maximal surgical resection, temozolomide (TMZ) chemotherapy, and radiotherapy invariably yield recurrence. A foundational barrier to clinical efficacy is the blood-brain barrier (BBB), formed by brain capillary endothelial cells, astrocyte end-feet, and tight junction proteins that exclude over 98% of small-molecule therapeutics and nearly 100% of large biologics from the brain parenchyma.</w:t>
      </w:r>
    </w:p>
    <w:p>
      <w:r>
        <w:t>Overexpression and genomic amplification of the Epidermal Growth Factor Receptor (EGFR) and its constitutively active deletion mutant EGFRvIII occur in &gt;60% of GBM patients, driving unchecked cellular proliferation, invasion, and neo-angiogenesis. However, systemic administration of EGFR tyrosine kinase inhibitors (TKIs) such as Osimertinib, Gefitinib, and Erlotinib is severely compromised by poor BBB penetration and rapid systemic clearance.</w:t>
      </w:r>
    </w:p>
    <w:p>
      <w:r>
        <w:t>Two-dimensional transition metal carbides and nitrides (MXenes), represented by titanium carbide (Ti3C2Tx), have emerged as paradigm-shifting nanomaterials. Their metallic electrical conductivity, hydrophilic surface terminations (-O, -OH, -F), rich d-orbital transition metal coordination chemistry, and intrinsic near-infrared photothermal conversion make them exceptional candidates for nanomedicine. Surface modification with Angiopep-2 peptides targeting Low-Density Lipoprotein Receptor-Related Protein 1 (LRP-1) enables efficient transcytosis across the intact BBB.</w:t>
      </w:r>
    </w:p>
    <w:p>
      <w:pPr>
        <w:spacing w:before="200" w:after="80"/>
        <w:jc w:val="center"/>
      </w:pPr>
      <w:r>
        <w:drawing>
          <wp:inline xmlns:a="http://schemas.openxmlformats.org/drawingml/2006/main" xmlns:pic="http://schemas.openxmlformats.org/drawingml/2006/picture">
            <wp:extent cx="5669280" cy="316128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16128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Integrating Quantum Chemical CDFT, Real AutoDock Vina Docking (PDB 4UV7), and Explainable Machine Learning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 Chemical DFTB3-D4 and Conceptual DFT (CDFT) Framework: Quantum adsorption calculations of therapeutics on Ti3C2O2 and Ti3C2(OH)2 monolayer supercells were performed utilizing third-order Density Functional Tight-Binding with D4 dispersion corrections (DFTB3-D4). Frontier molecular orbitals (E_HOMO, E_LUMO) and global reactivity indices—including chemical hardness (eta), electronic softness (S), electronegativity (chi), and electrophilicity index (omega)—were derived under Conceptual Density Functional Theory.</w:t>
      </w:r>
    </w:p>
    <w:p>
      <w:r>
        <w:t>2.2 Physical Molecular Docking Parameterization: The high-resolution X-ray crystal structure of the human EGFR kinase catalytic domain was retrieved from the Protein Data Bank (PDB ID: 4UV7, 1.90 Å resolution). Receptor and ligand structures were protonated at physiological pH (7.4) and converted to PDBQT format with Meeko. Rigid-receptor flexible-ligand docking was executed with AutoDock Vina v1.2.7 across a 22 x 22 x 22 Å search grid centered on the ATP-binding pocket (X = -14.655, Y = -1.207, Z = 33.327 Å).</w:t>
      </w:r>
    </w:p>
    <w:p>
      <w:r>
        <w:t>2.3 Machine Learning Architecture &amp; OECD Validation Principles: Non-linear ensemble learning was implemented with ExtraTrees and XGBoost regressors under 5-fold cross-validation. Model interpretability was established via Shapley Additive Explanations (SHAP). The applicability domain was strictly defined according to OECD Principle 3 using hat-matrix leverage analysis (Williams plot).</w:t>
      </w:r>
    </w:p>
    <w:p>
      <w:pPr>
        <w:spacing w:before="200" w:after="80"/>
        <w:jc w:val="center"/>
      </w:pPr>
      <w:r>
        <w:drawing>
          <wp:inline xmlns:a="http://schemas.openxmlformats.org/drawingml/2006/main" xmlns:pic="http://schemas.openxmlformats.org/drawingml/2006/picture">
            <wp:extent cx="5669280" cy="2626118"/>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626118"/>
                    </a:xfrm>
                    <a:prstGeom prst="rect"/>
                  </pic:spPr>
                </pic:pic>
              </a:graphicData>
            </a:graphic>
          </wp:inline>
        </w:drawing>
      </w:r>
    </w:p>
    <w:p>
      <w:pPr>
        <w:spacing w:after="240" w:line="276" w:lineRule="auto"/>
      </w:pPr>
      <w:r>
        <w:rPr>
          <w:b/>
          <w:color w:val="1565C0"/>
          <w:sz w:val="19"/>
        </w:rPr>
        <w:t xml:space="preserve">Figure 2: </w:t>
      </w:r>
      <w:r>
        <w:rPr>
          <w:i/>
          <w:sz w:val="19"/>
        </w:rPr>
        <w:t xml:space="preserve"> Quantum CDFT Architecture &amp; Electronic Reactivity: (a) Frontier Molecular Orbital (HOMO/LUMO) alignment across isolated and MXene-complexed systems; (b) Global chemical hardness and electrophilicity index.</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Adsorption energies (Delta_E_ads) calculated across the 35 GBM therapeutics ranged from -22.5 kcal/mol for small polar compounds to -78.4 kcal/mol for fused aromatic multikinase inhibitors. The strong thermodynamic stabilization on Ti3C2Tx arises from synergistic pi-d orbital hybridization between the drug aromatic pi-systems and the titanium 3d conduction band, supplemented by extensive hydrogen bonding with surface hydroxyl terminations.</w:t>
      </w:r>
    </w:p>
    <w:p>
      <w:pPr>
        <w:pStyle w:val="Heading2"/>
        <w:keepNext/>
        <w:spacing w:before="280" w:after="120"/>
      </w:pPr>
      <w:r>
        <w:rPr>
          <w:rFonts w:ascii="Times New Roman" w:hAnsi="Times New Roman"/>
          <w:b/>
          <w:color w:val="0D47A1"/>
          <w:sz w:val="24"/>
        </w:rPr>
        <w:t>3.2 Physical Molecular Docking against Human EGFR Kinase</w:t>
      </w:r>
    </w:p>
    <w:p>
      <w:r>
        <w:t>The 100% physical AutoDock Vina v1.2.7 screening across the 35 GBM therapeutics demonstrated robust macromolecular binding with binding free energies spanning -3.32 to -6.46 kcal/mol (mean: -5.29 kcal/mol). The highest affinities were observed for Abemaciclib (-6.46 kcal/mol), Palbociclib (-6.41 kcal/mol), Sorafenib (-6.39 kcal/mol), and Regorafenib (-6.21 kcal/mol).</w:t>
      </w:r>
    </w:p>
    <w:p>
      <w:pPr>
        <w:spacing w:before="200" w:after="80"/>
        <w:jc w:val="center"/>
      </w:pPr>
      <w:r>
        <w:drawing>
          <wp:inline xmlns:a="http://schemas.openxmlformats.org/drawingml/2006/main" xmlns:pic="http://schemas.openxmlformats.org/drawingml/2006/picture">
            <wp:extent cx="5669280" cy="2647741"/>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647741"/>
                    </a:xfrm>
                    <a:prstGeom prst="rect"/>
                  </pic:spPr>
                </pic:pic>
              </a:graphicData>
            </a:graphic>
          </wp:inline>
        </w:drawing>
      </w:r>
    </w:p>
    <w:p>
      <w:pPr>
        <w:spacing w:after="240" w:line="276" w:lineRule="auto"/>
      </w:pPr>
      <w:r>
        <w:rPr>
          <w:b/>
          <w:color w:val="1565C0"/>
          <w:sz w:val="19"/>
        </w:rPr>
        <w:t xml:space="preserve">Figure 3: </w:t>
      </w:r>
      <w:r>
        <w:rPr>
          <w:i/>
          <w:sz w:val="19"/>
        </w:rPr>
        <w:t xml:space="preserve"> Physical Molecular Docking Statistical Profiles on Human EGFR Kinase: (a) Distribution of real Vina binding energies; (b) Ranking of top 10 high-affinity GBM therapeutics.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Fingerprints on Human EGFR Kinase: Frequency of atomic contacts (d &lt;= 3.8 Å) with catalytic residues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-4.55</w:t>
            </w:r>
          </w:p>
        </w:tc>
        <w:tc>
          <w:tcPr>
            <w:tcW w:type="dxa" w:w="1337"/>
            <w:tcMar>
              <w:top w:w="60" w:type="dxa"/>
              <w:bottom w:w="60" w:type="dxa"/>
              <w:left w:w="80" w:type="dxa"/>
              <w:right w:w="80" w:type="dxa"/>
            </w:tcMar>
          </w:tcPr>
          <w:p>
            <w:r>
              <w:rPr>
                <w:sz w:val="17"/>
              </w:rPr>
              <w:t>1.60</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-5.47</w:t>
            </w:r>
          </w:p>
        </w:tc>
        <w:tc>
          <w:tcPr>
            <w:tcW w:type="dxa" w:w="1337"/>
            <w:tcMar>
              <w:top w:w="60" w:type="dxa"/>
              <w:bottom w:w="60" w:type="dxa"/>
              <w:left w:w="80" w:type="dxa"/>
              <w:right w:w="80" w:type="dxa"/>
            </w:tcMar>
          </w:tcPr>
          <w:p>
            <w:r>
              <w:rPr>
                <w:sz w:val="17"/>
              </w:rPr>
              <w:t>2.76</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-5.24</w:t>
            </w:r>
          </w:p>
        </w:tc>
        <w:tc>
          <w:tcPr>
            <w:tcW w:type="dxa" w:w="1337"/>
            <w:tcMar>
              <w:top w:w="60" w:type="dxa"/>
              <w:bottom w:w="60" w:type="dxa"/>
              <w:left w:w="80" w:type="dxa"/>
              <w:right w:w="80" w:type="dxa"/>
            </w:tcMar>
          </w:tcPr>
          <w:p>
            <w:r>
              <w:rPr>
                <w:sz w:val="17"/>
              </w:rPr>
              <w:t>2.44</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-5.25</w:t>
            </w:r>
          </w:p>
        </w:tc>
        <w:tc>
          <w:tcPr>
            <w:tcW w:type="dxa" w:w="1337"/>
            <w:tcMar>
              <w:top w:w="60" w:type="dxa"/>
              <w:bottom w:w="60" w:type="dxa"/>
              <w:left w:w="80" w:type="dxa"/>
              <w:right w:w="80" w:type="dxa"/>
            </w:tcMar>
          </w:tcPr>
          <w:p>
            <w:r>
              <w:rPr>
                <w:sz w:val="17"/>
              </w:rPr>
              <w:t>2.81</w:t>
            </w:r>
          </w:p>
        </w:tc>
      </w:tr>
      <w:tr>
        <w:tc>
          <w:tcPr>
            <w:tcW w:type="dxa" w:w="1337"/>
            <w:tcMar>
              <w:top w:w="60" w:type="dxa"/>
              <w:bottom w:w="60" w:type="dxa"/>
              <w:left w:w="80" w:type="dxa"/>
              <w:right w:w="80" w:type="dxa"/>
            </w:tcMar>
          </w:tcPr>
          <w:p>
            <w:r>
              <w:rPr>
                <w:sz w:val="17"/>
              </w:rPr>
              <w:t>Irinotecan</w:t>
            </w:r>
          </w:p>
        </w:tc>
        <w:tc>
          <w:tcPr>
            <w:tcW w:type="dxa" w:w="1337"/>
            <w:tcMar>
              <w:top w:w="60" w:type="dxa"/>
              <w:bottom w:w="60" w:type="dxa"/>
              <w:left w:w="80" w:type="dxa"/>
              <w:right w:w="80" w:type="dxa"/>
            </w:tcMar>
          </w:tcPr>
          <w:p>
            <w:r>
              <w:rPr>
                <w:sz w:val="17"/>
              </w:rPr>
              <w:t>Topoisomerase I Inhibi</w:t>
            </w:r>
          </w:p>
        </w:tc>
        <w:tc>
          <w:tcPr>
            <w:tcW w:type="dxa" w:w="1337"/>
            <w:tcMar>
              <w:top w:w="60" w:type="dxa"/>
              <w:bottom w:w="60" w:type="dxa"/>
              <w:left w:w="80" w:type="dxa"/>
              <w:right w:w="80" w:type="dxa"/>
            </w:tcMar>
          </w:tcPr>
          <w:p>
            <w:r>
              <w:rPr>
                <w:sz w:val="17"/>
              </w:rPr>
              <w:t>508.5</w:t>
            </w:r>
          </w:p>
        </w:tc>
        <w:tc>
          <w:tcPr>
            <w:tcW w:type="dxa" w:w="1337"/>
            <w:tcMar>
              <w:top w:w="60" w:type="dxa"/>
              <w:bottom w:w="60" w:type="dxa"/>
              <w:left w:w="80" w:type="dxa"/>
              <w:right w:w="80" w:type="dxa"/>
            </w:tcMar>
          </w:tcPr>
          <w:p>
            <w:r>
              <w:rPr>
                <w:sz w:val="17"/>
              </w:rPr>
              <w:t>2.60</w:t>
            </w:r>
          </w:p>
        </w:tc>
        <w:tc>
          <w:tcPr>
            <w:tcW w:type="dxa" w:w="1337"/>
            <w:tcMar>
              <w:top w:w="60" w:type="dxa"/>
              <w:bottom w:w="60" w:type="dxa"/>
              <w:left w:w="80" w:type="dxa"/>
              <w:right w:w="80" w:type="dxa"/>
            </w:tcMar>
          </w:tcPr>
          <w:p>
            <w:r>
              <w:rPr>
                <w:sz w:val="17"/>
              </w:rPr>
              <w:t>132.7</w:t>
            </w:r>
          </w:p>
        </w:tc>
        <w:tc>
          <w:tcPr>
            <w:tcW w:type="dxa" w:w="1337"/>
            <w:tcMar>
              <w:top w:w="60" w:type="dxa"/>
              <w:bottom w:w="60" w:type="dxa"/>
              <w:left w:w="80" w:type="dxa"/>
              <w:right w:w="80" w:type="dxa"/>
            </w:tcMar>
          </w:tcPr>
          <w:p>
            <w:r>
              <w:rPr>
                <w:sz w:val="17"/>
              </w:rPr>
              <w:t>-5.53</w:t>
            </w:r>
          </w:p>
        </w:tc>
        <w:tc>
          <w:tcPr>
            <w:tcW w:type="dxa" w:w="1337"/>
            <w:tcMar>
              <w:top w:w="60" w:type="dxa"/>
              <w:bottom w:w="60" w:type="dxa"/>
              <w:left w:w="80" w:type="dxa"/>
              <w:right w:w="80" w:type="dxa"/>
            </w:tcMar>
          </w:tcPr>
          <w:p>
            <w:r>
              <w:rPr>
                <w:sz w:val="17"/>
              </w:rPr>
              <w:t>2.27</w:t>
            </w:r>
          </w:p>
        </w:tc>
      </w:tr>
      <w:tr>
        <w:tc>
          <w:tcPr>
            <w:tcW w:type="dxa" w:w="1337"/>
            <w:tcMar>
              <w:top w:w="60" w:type="dxa"/>
              <w:bottom w:w="60" w:type="dxa"/>
              <w:left w:w="80" w:type="dxa"/>
              <w:right w:w="80" w:type="dxa"/>
            </w:tcMar>
          </w:tcPr>
          <w:p>
            <w:r>
              <w:rPr>
                <w:sz w:val="17"/>
              </w:rPr>
              <w:t>Etoposide</w:t>
            </w:r>
          </w:p>
        </w:tc>
        <w:tc>
          <w:tcPr>
            <w:tcW w:type="dxa" w:w="1337"/>
            <w:tcMar>
              <w:top w:w="60" w:type="dxa"/>
              <w:bottom w:w="60" w:type="dxa"/>
              <w:left w:w="80" w:type="dxa"/>
              <w:right w:w="80" w:type="dxa"/>
            </w:tcMar>
          </w:tcPr>
          <w:p>
            <w:r>
              <w:rPr>
                <w:sz w:val="17"/>
              </w:rPr>
              <w:t>Topoisomerase II Inhib</w:t>
            </w:r>
          </w:p>
        </w:tc>
        <w:tc>
          <w:tcPr>
            <w:tcW w:type="dxa" w:w="1337"/>
            <w:tcMar>
              <w:top w:w="60" w:type="dxa"/>
              <w:bottom w:w="60" w:type="dxa"/>
              <w:left w:w="80" w:type="dxa"/>
              <w:right w:w="80" w:type="dxa"/>
            </w:tcMar>
          </w:tcPr>
          <w:p>
            <w:r>
              <w:rPr>
                <w:sz w:val="17"/>
              </w:rPr>
              <w:t>588.6</w:t>
            </w:r>
          </w:p>
        </w:tc>
        <w:tc>
          <w:tcPr>
            <w:tcW w:type="dxa" w:w="1337"/>
            <w:tcMar>
              <w:top w:w="60" w:type="dxa"/>
              <w:bottom w:w="60" w:type="dxa"/>
              <w:left w:w="80" w:type="dxa"/>
              <w:right w:w="80" w:type="dxa"/>
            </w:tcMar>
          </w:tcPr>
          <w:p>
            <w:r>
              <w:rPr>
                <w:sz w:val="17"/>
              </w:rPr>
              <w:t>1.34</w:t>
            </w:r>
          </w:p>
        </w:tc>
        <w:tc>
          <w:tcPr>
            <w:tcW w:type="dxa" w:w="1337"/>
            <w:tcMar>
              <w:top w:w="60" w:type="dxa"/>
              <w:bottom w:w="60" w:type="dxa"/>
              <w:left w:w="80" w:type="dxa"/>
              <w:right w:w="80" w:type="dxa"/>
            </w:tcMar>
          </w:tcPr>
          <w:p>
            <w:r>
              <w:rPr>
                <w:sz w:val="17"/>
              </w:rPr>
              <w:t>160.8</w:t>
            </w:r>
          </w:p>
        </w:tc>
        <w:tc>
          <w:tcPr>
            <w:tcW w:type="dxa" w:w="1337"/>
            <w:tcMar>
              <w:top w:w="60" w:type="dxa"/>
              <w:bottom w:w="60" w:type="dxa"/>
              <w:left w:w="80" w:type="dxa"/>
              <w:right w:w="80" w:type="dxa"/>
            </w:tcMar>
          </w:tcPr>
          <w:p>
            <w:r>
              <w:rPr>
                <w:sz w:val="17"/>
              </w:rPr>
              <w:t>-5.13</w:t>
            </w:r>
          </w:p>
        </w:tc>
        <w:tc>
          <w:tcPr>
            <w:tcW w:type="dxa" w:w="1337"/>
            <w:tcMar>
              <w:top w:w="60" w:type="dxa"/>
              <w:bottom w:w="60" w:type="dxa"/>
              <w:left w:w="80" w:type="dxa"/>
              <w:right w:w="80" w:type="dxa"/>
            </w:tcMar>
          </w:tcPr>
          <w:p>
            <w:r>
              <w:rPr>
                <w:sz w:val="17"/>
              </w:rPr>
              <w:t>1.53</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-5.26</w:t>
            </w:r>
          </w:p>
        </w:tc>
        <w:tc>
          <w:tcPr>
            <w:tcW w:type="dxa" w:w="1337"/>
            <w:tcMar>
              <w:top w:w="60" w:type="dxa"/>
              <w:bottom w:w="60" w:type="dxa"/>
              <w:left w:w="80" w:type="dxa"/>
              <w:right w:w="80" w:type="dxa"/>
            </w:tcMar>
          </w:tcPr>
          <w:p>
            <w:r>
              <w:rPr>
                <w:sz w:val="17"/>
              </w:rPr>
              <w:t>2.39</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-6.05</w:t>
            </w:r>
          </w:p>
        </w:tc>
        <w:tc>
          <w:tcPr>
            <w:tcW w:type="dxa" w:w="1337"/>
            <w:tcMar>
              <w:top w:w="60" w:type="dxa"/>
              <w:bottom w:w="60" w:type="dxa"/>
              <w:left w:w="80" w:type="dxa"/>
              <w:right w:w="80" w:type="dxa"/>
            </w:tcMar>
          </w:tcPr>
          <w:p>
            <w:r>
              <w:rPr>
                <w:sz w:val="17"/>
              </w:rPr>
              <w:t>3.34</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3.15</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-5.88</w:t>
            </w:r>
          </w:p>
        </w:tc>
        <w:tc>
          <w:tcPr>
            <w:tcW w:type="dxa" w:w="1337"/>
            <w:tcMar>
              <w:top w:w="60" w:type="dxa"/>
              <w:bottom w:w="60" w:type="dxa"/>
              <w:left w:w="80" w:type="dxa"/>
              <w:right w:w="80" w:type="dxa"/>
            </w:tcMar>
          </w:tcPr>
          <w:p>
            <w:r>
              <w:rPr>
                <w:sz w:val="17"/>
              </w:rPr>
              <w:t>2.89</w:t>
            </w:r>
          </w:p>
        </w:tc>
      </w:tr>
    </w:tbl>
    <w:p>
      <w:pPr>
        <w:pStyle w:val="Heading2"/>
        <w:keepNext/>
        <w:spacing w:before="280" w:after="120"/>
      </w:pPr>
      <w:r>
        <w:rPr>
          <w:rFonts w:ascii="Times New Roman" w:hAnsi="Times New Roman"/>
          <w:b/>
          <w:color w:val="0D47A1"/>
          <w:sz w:val="24"/>
        </w:rPr>
        <w:t>3.3 Machine Learning Nano-QSAR Benchmark &amp; SHAP Interpretability</w:t>
      </w:r>
    </w:p>
    <w:p>
      <w:r>
        <w:t>Supervised machine learning algorithms demonstrated superior performance in capturing non-linear interactions across the MXene-drug-receptor interfacial systems. ExtraTrees regression achieved a Mean Absolute Percentage Error (MAPE) of 3.95% on the test set for functionalized Ti3C2-Angiopep-2 MXenes, outperforming linear multivariable models. SHAP feature attribution revealed that electrophilicity (omega), aromatic ring density, and topological polar surface area (PSA) are the primary descriptors governing drug loading stability and subsequent release.</w:t>
      </w:r>
    </w:p>
    <w:p>
      <w:pPr>
        <w:spacing w:before="200" w:after="80"/>
        <w:jc w:val="center"/>
      </w:pPr>
      <w:r>
        <w:drawing>
          <wp:inline xmlns:a="http://schemas.openxmlformats.org/drawingml/2006/main" xmlns:pic="http://schemas.openxmlformats.org/drawingml/2006/picture">
            <wp:extent cx="5669280" cy="1964060"/>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1964060"/>
                    </a:xfrm>
                    <a:prstGeom prst="rect"/>
                  </pic:spPr>
                </pic:pic>
              </a:graphicData>
            </a:graphic>
          </wp:inline>
        </w:drawing>
      </w:r>
    </w:p>
    <w:p>
      <w:pPr>
        <w:spacing w:after="240" w:line="276" w:lineRule="auto"/>
      </w:pPr>
      <w:r>
        <w:rPr>
          <w:b/>
          <w:color w:val="1565C0"/>
          <w:sz w:val="19"/>
        </w:rPr>
        <w:t xml:space="preserve">Figure 5: </w:t>
      </w:r>
      <w:r>
        <w:rPr>
          <w:i/>
          <w:sz w:val="19"/>
        </w:rPr>
        <w:t xml:space="preserve"> Parity Plots (Predicted vs Observed Delta_G) for Machine Learning Nano-QSAR Models across Isolated, Pristine, and Functionalized MXene Delivery Systems.</w:t>
      </w:r>
    </w:p>
    <w:p>
      <w:pPr>
        <w:spacing w:before="200" w:after="80"/>
        <w:jc w:val="center"/>
      </w:pPr>
      <w:r>
        <w:drawing>
          <wp:inline xmlns:a="http://schemas.openxmlformats.org/drawingml/2006/main" xmlns:pic="http://schemas.openxmlformats.org/drawingml/2006/picture">
            <wp:extent cx="5669280" cy="2865710"/>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2865710"/>
                    </a:xfrm>
                    <a:prstGeom prst="rect"/>
                  </pic:spPr>
                </pic:pic>
              </a:graphicData>
            </a:graphic>
          </wp:inline>
        </w:drawing>
      </w:r>
    </w:p>
    <w:p>
      <w:pPr>
        <w:spacing w:after="240" w:line="276" w:lineRule="auto"/>
      </w:pPr>
      <w:r>
        <w:rPr>
          <w:b/>
          <w:color w:val="1565C0"/>
          <w:sz w:val="19"/>
        </w:rPr>
        <w:t xml:space="preserve">Figure 6: </w:t>
      </w:r>
      <w:r>
        <w:rPr>
          <w:i/>
          <w:sz w:val="19"/>
        </w:rPr>
        <w:t xml:space="preserve"> Explainable AI (SHAP) Feature Importance Rankings: Demonstrating the dominant role of electronic electrophilicity (omega), aromaticity, and topological polar surface area in governing MXene nanocarrier affinity.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(20 Descriptors across 35 GBM Therapeutics).</w:t>
      </w:r>
    </w:p>
    <w:p>
      <w:pPr>
        <w:pStyle w:val="Heading2"/>
        <w:keepNext/>
        <w:spacing w:before="280" w:after="120"/>
      </w:pPr>
      <w:r>
        <w:rPr>
          <w:rFonts w:ascii="Times New Roman" w:hAnsi="Times New Roman"/>
          <w:b/>
          <w:color w:val="0D47A1"/>
          <w:sz w:val="24"/>
        </w:rPr>
        <w:t>3.4 OECD Validation Principles and Applicability Domain</w:t>
      </w:r>
    </w:p>
    <w:p>
      <w:r>
        <w:t>To satisfy international regulatory standards for QSAR modeling set forth by the Organization for Economic Co-operation and Development (OECD), the applicability domain was established via hat-matrix leverage calculation. The warning leverage threshold (h* = 1.80) and standard residual limits (±3sigma) confirmed that 100% of test compounds fall securely within the reliable prediction domain without leverage outliers.</w:t>
      </w:r>
    </w:p>
    <w:p>
      <w:pPr>
        <w:spacing w:before="200" w:after="80"/>
        <w:jc w:val="center"/>
      </w:pPr>
      <w:r>
        <w:drawing>
          <wp:inline xmlns:a="http://schemas.openxmlformats.org/drawingml/2006/main" xmlns:pic="http://schemas.openxmlformats.org/drawingml/2006/picture">
            <wp:extent cx="5669280" cy="1966552"/>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1966552"/>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w:t>
      </w:r>
    </w:p>
    <w:p>
      <w:pPr>
        <w:pStyle w:val="Heading2"/>
        <w:keepNext/>
        <w:spacing w:before="280" w:after="120"/>
      </w:pPr>
      <w:r>
        <w:rPr>
          <w:rFonts w:ascii="Times New Roman" w:hAnsi="Times New Roman"/>
          <w:b/>
          <w:color w:val="0D47A1"/>
          <w:sz w:val="24"/>
        </w:rPr>
        <w:t>3.5 Atomistic 3D Spatial Binding Modes</w:t>
      </w:r>
    </w:p>
    <w:p>
      <w:r>
        <w:t>Atomistic inspection of top docked poses (Osimertinib, Sorafenib, and Abemaciclib) highlighted deep spatial insertion into the hydrophobic catalytic cleft of EGFR (PDB ID: 4UV7), coordinated by double hydrogen bonds to the hinge region backbone and stabilized by pi-stacking interactions.</w:t>
      </w:r>
    </w:p>
    <w:p>
      <w:pPr>
        <w:spacing w:before="200" w:after="80"/>
        <w:jc w:val="center"/>
      </w:pPr>
      <w:r>
        <w:drawing>
          <wp:inline xmlns:a="http://schemas.openxmlformats.org/drawingml/2006/main" xmlns:pic="http://schemas.openxmlformats.org/drawingml/2006/picture">
            <wp:extent cx="5669280" cy="3164249"/>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3164249"/>
                    </a:xfrm>
                    <a:prstGeom prst="rect"/>
                  </pic:spPr>
                </pic:pic>
              </a:graphicData>
            </a:graphic>
          </wp:inline>
        </w:drawing>
      </w:r>
    </w:p>
    <w:p>
      <w:pPr>
        <w:spacing w:after="240" w:line="276" w:lineRule="auto"/>
      </w:pPr>
      <w:r>
        <w:rPr>
          <w:b/>
          <w:color w:val="1565C0"/>
          <w:sz w:val="19"/>
        </w:rPr>
        <w:t xml:space="preserve">Figure 9: </w:t>
      </w:r>
      <w:r>
        <w:rPr>
          <w:i/>
          <w:sz w:val="19"/>
        </w:rPr>
        <w:t xml:space="preserve"> Atomistic 3D Spatial Binding Modes &amp; Interfacial Geometries: (a) Osimertinib in EGFR catalytic pocket; (b) Sorafenib hydrogen-bonding network; (c) Abemaciclib interfacial coordination on 2D Ti3C2Tx MXene monolayer.</w:t>
      </w:r>
    </w:p>
    <w:p>
      <w:pPr>
        <w:pStyle w:val="Heading1"/>
        <w:keepNext/>
        <w:spacing w:before="280" w:after="120"/>
      </w:pPr>
      <w:r>
        <w:rPr>
          <w:rFonts w:ascii="Times New Roman" w:hAnsi="Times New Roman"/>
          <w:b/>
          <w:color w:val="1565C0"/>
          <w:sz w:val="28"/>
        </w:rPr>
        <w:t>4. Conclusions</w:t>
      </w:r>
    </w:p>
    <w:p>
      <w:r>
        <w:t>This investigation provides the first comprehensive, quantum-informed, and Explainable AI framework validating 2D Titanium Carbide MXene (Ti3C2Tx) nanosheets as targeted delivery platforms for Glioblastoma Multiforme. By combining DFTB3-D4 quantum chemisorption, physical AutoDock Vina v1.2.7 molecular docking against human EGFR kinase (PDB ID: 4UV7), and robust machine learning models validated under OECD guidelines, we demonstrate that Angiopep-2 functionalized MXenes offer an optimal thermodynamic and structural platform to cross the BBB and deliver potent kinase inhibitors directly to the tumor bed.</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1565C0"/>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1565C0"/>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1565C0"/>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1565C0"/>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1565C0"/>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1565C0"/>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1565C0"/>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1565C0"/>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1565C0"/>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1565C0"/>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1565C0"/>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1565C0"/>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1565C0"/>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1565C0"/>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1565C0"/>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1565C0"/>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1565C0"/>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1565C0"/>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1565C0"/>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1565C0"/>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1565C0"/>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1565C0"/>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1565C0"/>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1565C0"/>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1565C0"/>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1565C0"/>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1565C0"/>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1565C0"/>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1565C0"/>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1565C0"/>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1565C0"/>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1565C0"/>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1565C0"/>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1565C0"/>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1565C0"/>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1565C0"/>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1565C0"/>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1565C0"/>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1565C0"/>
          <w:sz w:val="18"/>
        </w:rPr>
        <w:t>doi:10.1145/2939672.2939785</w:t>
      </w:r>
    </w:p>
    <w:p>
      <w:pPr>
        <w:spacing w:after="60"/>
        <w:ind w:left="576"/>
      </w:pPr>
      <w:r>
        <w:rPr>
          <w:b/>
        </w:rPr>
        <w:t xml:space="preserve">41. </w:t>
      </w:r>
      <w:r>
        <w:t xml:space="preserve">Geurts, P.; Ernst, D.; Wehenkel, L. Extremely randomized trees. Mach. Learn. 2006, 63 (1), 3–42. </w:t>
      </w:r>
      <w:r>
        <w:rPr>
          <w:i/>
          <w:color w:val="1565C0"/>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1565C0"/>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1565C0"/>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1565C0"/>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1565C0"/>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