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Machine Learning-Driven Nano-QSAR of Functionalized 2D Titanium Carbide MXene Nanosheets for Targeted Glioblastoma Therapeutics Delivery</w:t>
      </w:r>
    </w:p>
    <w:p>
      <w:r>
        <w:rPr>
          <w:i/>
          <w:sz w:val="20"/>
        </w:rPr>
        <w:t>Andrés Monreal Hernández, Sara Lizbeth Franco Amaya, and Carlos Ivanhoe Martínez Osorio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Section S1: 2D Titanium Carbide MXene (Ti3C2Tx) Cluster Model Architecture, Terminations, and Coordinates</w:t>
      </w:r>
    </w:p>
    <w:p>
      <w:r>
        <w:t>Chemical Construction and Surface Chemistry:</w:t>
        <w:br/>
        <w:t>The 2D titanium carbide MXene nanocarrier is modeled as a trilayer Ti3C2 cluster with fully saturated surface terminations Tx (Tx = =O, -OH, -F). The oxygen-terminated Ti3C2O2 configuration exhibits strong metallic conductivity, negative surface electrostatic potential, and high biocompatibility. Supramolecular drug-MXene complexes were constructed by positioning neuro-oncology drugs at a standardized vertical distance of z = 3.30 A parallel to the basal plane.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Section S2: Computational Software Versions and Open-Source Repository Specifications</w:t>
      </w:r>
    </w:p>
    <w:p>
      <w:r>
        <w:t>All calculations were conducted within a strictly tracked computational ecosystem:</w:t>
        <w:br/>
        <w:t>• AutoDock Vina v1.2.7 (Scripps Research Institute)</w:t>
        <w:br/>
        <w:t>• GFN2-xTB v6.7.1 &amp; GFN1-xTB (Grimme Group, Universität Bonn)</w:t>
        <w:br/>
        <w:t>• ORCA Quantum Chemistry Program v6.1.1 (B3LYP-D3BJ / def2-SVP, TightSCF)</w:t>
        <w:br/>
        <w:t>• ChemAxon Calculator Plugin (cxcalc pKa, v23.18.0, MarvinBeans)</w:t>
        <w:br/>
        <w:t>• RDKit v2024.03.1 &amp; Meeko v0.5.0</w:t>
        <w:br/>
        <w:t>• Scikit-learn v1.4.2, SciPy v1.13.0, and SHAP v0.45.0</w:t>
        <w:br/>
        <w:t>• Primary GitHub Codebase: https://github.com/sircalch/mxene-glioblastoma-qsar-ai</w:t>
        <w:br/>
        <w:t>• Permanent Zenodo Archival DOI: 10.5281/zenodo.22187857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S1: Full Dataset of Curated Neuro-Oncology Therapeutics (N=35): Docking Scores, Ligand Efficiency, and GFN2-xTB Interaction Energies on Ti3C2O2 MXene.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Mechanism / Target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EGFRvIII Vina (kcal/mol)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LE (kcal/mol/atom)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Alpha (Bohr³)</w:t>
            </w:r>
          </w:p>
        </w:tc>
        <w:tc>
          <w:tcPr>
            <w:tcW w:type="dxa" w:w="1419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Delta_E_int,std (kcal/mol)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194.2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76.7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233.7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94.1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Carmustine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214.1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Procarbazine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206.3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90.9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508.5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212.4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588.6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240.2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Nimustine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271.7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109.3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184.6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169.5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485.9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201.3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Dacomitinib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469.9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196.2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Brigatinib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501.0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205.2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482.8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189.3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410.5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175.6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Cabozantinib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611.6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255.9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Lenvatinib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426.9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Sunitinib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398.5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169.7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Sorafenib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464.8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185.1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Pazopanib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438.5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179.4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Axitinib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386.5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166.4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Dabrafenib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555.6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526.3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183.0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413.6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148.9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617.1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186.3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555.6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320.4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136.1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581.1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235.7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447.5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191.8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488.6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210.8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434.5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187.4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504.5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212.1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Entrectinib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551.6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232.5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Marizomib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271.7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111.6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Vorinostat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Neuro-Oncology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264.3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-8.00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112.5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-28.50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S2: Dominant Microstates, Tautomers, and Assigned Formal Charges at Physiological pH 7.40 for Neuro-Oncology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Class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Dominant Form at pH 7.4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Charge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Predicted pKa (cxcalc)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Alkylating Agent (Imidazotetrazine)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1.80 (very weak base)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Lomustine (CCNU)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-1.20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3rd Gen EGFR/EGFRvIII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(basic amine)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9.50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(morpholine)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7.20 / 5.40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/ Monocation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5.42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Dual EGFR/HER2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Diprotonated (sulfonylethylamine)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7.10 / 6.20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11.20 (urea)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Bevacizumab Mimetic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Anti-Angiogenic Peptide/Lead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Zwitterionic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9.40 / 4.10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S3: OECD Principles 1-5 Compliance Checklist for Nano-QSAR Surrogate Modeling on 2D Ti3C2Tx MXenes.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2484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Requirement</w:t>
            </w:r>
          </w:p>
        </w:tc>
        <w:tc>
          <w:tcPr>
            <w:tcW w:type="dxa" w:w="2484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Implementation in Present Study</w:t>
            </w:r>
          </w:p>
        </w:tc>
        <w:tc>
          <w:tcPr>
            <w:tcW w:type="dxa" w:w="2484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Audit Status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1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Endpoint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Standardized electronic interaction energy (Delta_E_int,std, kcal/mol) on Ti3C2O2 at z=3.30 A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2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Unambiguous Algorithm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Regularized Ridge, ElasticNet, and Random Forest models with prespecified physicochemical &amp; CDFT features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3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Applicability Domain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Hat-matrix leverage analysis with warning threshold h* = 0.428 and +/-3sigma residual boundaries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4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Goodness-of-Fit &amp; Robustness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Nested 5-fold CV (Q2_CV = +0.598) + 1,000 Y-scrambling permutations (mean Q2 = -0.241, p = 0.001)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5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Mechanistic Interpretation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Interpreted via SHAP feature importance: polarizability (alpha), electrophilicity (omega), and PSA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S5: Higher-Level Dispersion-Corrected DFT Benchmark (ORCA 6.1.1, B3LYP-D3BJ/def2-SVP vs GFN2-xTB) across Representative Neuro-Oncology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Structural Scaffold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GFN2-xTB Delta_E_int,std (kcal/mol)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B3LYP-D3BJ/def2-SVP (kcal/mol)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Abs Error (kcal/mol)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Imidazotetrazine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-22.15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-20.80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1.35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Nitrosourea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-19.40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-18.10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1.30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Aminopyrimidine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-38.60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-36.40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2.20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Quinazoline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-34.15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-32.50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1.65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Quinazoline TKI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-32.80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-31.10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1.70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Dual Kinase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-42.50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-40.10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2.40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Diarylisoxazole / Pyridine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-36.70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-34.90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1.80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4D40"/>
          <w:sz w:val="24"/>
        </w:rPr>
        <w:t>Table S6: Exact Measured Interatomic Crystallographic Contact Distances in Glioblastoma EGFRvIII Active Site (PDB ID: 2J6M / 4ZAU).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Interaction Type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EGFRvIII Residue &amp; Atom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Atom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Measured Distance (Å)</w:t>
            </w:r>
          </w:p>
        </w:tc>
        <w:tc>
          <w:tcPr>
            <w:tcW w:type="dxa" w:w="1987"/>
            <w:shd w:fill="004D4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Physical Nature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Key Catalytic Salt Bridge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Lys745 (Amine NZ)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TKI Sulfonamide / Carbonyl Oxygen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2.68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Ionic / Salt-Bridge Coordination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Hinge Region H-Bond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Met793 (Backbone NH)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Quinazoline Nitrogen (N1)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2.85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Hydrogen Bonding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Gatekeeper Hydrophobic Packing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Thr790 (Methyl / Sidechain)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Aromatic Core Ring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3.42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Hydrophobic Packing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Phosphate-Binding Loop Contact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Leu718 (Hydrophobic Sidechain)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Aliphatic Tail / Ether Linker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3.60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van der Waals Contact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