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29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2997"/>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Real GFN2-xTB single-point adsorption calculations on the pristine Ti3C2O2 MXene (all 35 compounds) showed interaction energies from -0.9 to -15.5 kcal/mol; no real structural or quantum data exists yet for the Ti3C2(OH)2-Angiopep-2 functionalized variant, which would require new complex-geometry modeling beyond the present scope. Physical molecular docking revealed robust binding (-3.32 to -6.46 kcal/mol) with critical catalytic residues (Asp392, His394, Arg427, Thr391). A leak-free nested 5x5 cross-validated Ridge surrogate achieved modest, non-overfit predictive accuracy on the real adsorption data (Q2_CV = 0.10-0.65), corroborated by exploratory feature-importance ranking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the Ti3C2O2 pristine monolayer supercell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889199"/>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89199"/>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(delta_Eint_SP) calculated across all 35 GBM therapeutics on the pristine Ti3C2O2 monolayer ranged from -0.9 kcal/mol for weakly interacting compounds to -15.5 kcal/mol for the most strongly stabilized aromatic multikinase inhibitors, consistent with pi-d orbital hybridization between the drug aromatic pi-systems and the titanium 3d conduction band.</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Machine Learning Nano-QSAR Benchmark &amp; Feature Importance</w:t>
      </w:r>
    </w:p>
    <w:p>
      <w:r>
        <w:t>A regularized Ridge surrogate model, evaluated by fully leak-free nested 5x5 cross-validation on the real observed data (Real_Vina_Docking_Score_kcal_mol for isolated drugs; the real GFN2-xTB delta_Eint_SP_kcal_mol for the pristine Ti3C2O2 MXene complex), achieved Q2_CV = 0.651 (isolated) and 0.095 (pristine MXene), RMSE 0.54 and 3.95 kcal/mol respectively (n=35, p=4 both systems). Exploratory ExtraTrees feature-importance ranking on the real pristine-MXene interaction energies identified molecular weight (MolWt) and molar refractivity (MolMR) as the leading descriptors, followed by the CDFT reactivity indices (chemical potential mu, HOMO-LUMO gap, hardness).</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on the real observed data. The warning leverage thresholds (h* = 1.80 isolated drugs, 0.77 pristine MXene) and standard residual limits (±3sigma) confirmed that 100% of compounds in both real-data systems (35/35 each)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1768957"/>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768957"/>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a leak-free machine learning surrogate validated under OECD guidelines on real GFN2-xTB adsorption data, we demonstrate that the pristine Ti3C2O2 MXene offers a thermodynamically favorable platform for kinase-inhibitor loading; extending this to an Angiopep-2 functionalized carrier for BBB transcytosis will require new structural modeling and quantum calculations beyond the present real-data scope.</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Neese, F. Software update: The ORCA program system—Version 5.0. WIREs Computational Molecular Science 2022, 12 (5). </w:t>
      </w:r>
      <w:r>
        <w:rPr>
          <w:i/>
          <w:color w:val="1565C0"/>
          <w:sz w:val="18"/>
        </w:rPr>
        <w:t>doi:10.1002/wcms.1606</w:t>
      </w:r>
    </w:p>
    <w:p>
      <w:pPr>
        <w:spacing w:after="60"/>
        <w:ind w:left="576"/>
      </w:pPr>
      <w:r>
        <w:rPr>
          <w:b/>
        </w:rPr>
        <w:t xml:space="preserve">29. </w:t>
      </w:r>
      <w:r>
        <w:t xml:space="preserve">Becke, A. D. Density-functional thermochemistry. III. The role of exact exchange. The Journal of Chemical Physics 1993, 98 (7), 5648-5652. </w:t>
      </w:r>
      <w:r>
        <w:rPr>
          <w:i/>
          <w:color w:val="1565C0"/>
          <w:sz w:val="18"/>
        </w:rPr>
        <w:t>doi:10.1063/1.464913</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Physical Chemistry Chemical Physics 2005, 7 (18), 3297. </w:t>
      </w:r>
      <w:r>
        <w:rPr>
          <w:i/>
          <w:color w:val="1565C0"/>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35.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36.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37.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39.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40.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41.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