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0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0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 w:line="276" w:lineRule="auto"/>
      </w:pPr>
      <w:r>
        <w:t>Glioblastoma multiforme (GBM) is the most lethal primary malignant central nervous system neoplasm in adults, with a median survival below 15 months, driven by therapeutic resistance and the restrictive physiology of the blood-brain barrier (BBB) [1,3]. Here we present an integrated computational framework combining GFN2-xTB tight-binding quantum chemistry (with D4 dispersion) [26,27], physical molecular docking (AutoDock Vina v1.2.7 [28,29] against the human EGFR kinase domain, PDB ID: 4ZAU, 2.80 Å, with 2J6M as a secondary control), and a leak-free cross-validated explainable Nano-QSAR surrogate, for a curated set of 35 clinical CNS and GBM therapeutics. Real GFN2-xTB single-point interaction energies of all 35 drugs on the pristine oxygen-terminated Ti3C2O2 MXene cluster range from -0.9 to -15.5 kcal/mol. An Angiopep-2-functionalized MXene for LRP-1-mediated transcytosis is discussed only as future work, since no real structural or quantum data for it exist in this study. Docking against EGFR (exploratory; redocking heavy-atom RMSD 5.32 Å) gave Vina scores of -3.83 to -9.18 kcal/mol (mean -7.11), with recurrent contacts at Thr790, Met793, Leu844 and Ala743. A leak-free nested 5x5 cross-validated RidgeCV surrogate on four descriptors reached Q2_CV = 0.31 for the EGFR Vina docking score and 0.10 for the pristine-MXene interaction energy - the EGFR docking model is at best weakly predictive and the pristine-MXene model is not; the feature-importance analysis is reported as exploratory. OECD Principle 3 applicability-domain analysis (Williams leverage, on the same four descriptors as the surrogate model) places 33/35 compounds inside the domain for the pristine-MXene system and 32/33 for the EGFR docking system. Every value reported is computed from the deposited pipeline; no descriptor or energy is estimated from an empirical formula.</w:t>
      </w:r>
    </w:p>
    <w:p>
      <w:pPr>
        <w:spacing w:after="280"/>
      </w:pPr>
      <w:r>
        <w:rPr>
          <w:b/>
        </w:rPr>
        <w:t xml:space="preserve">Keywords: </w:t>
      </w:r>
      <w:r>
        <w:t>2D MXene (Ti3C2Tx); Glioblastoma; Blood-Brain Barrier; EGFR kinase;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Thr790, Met793, Leu844, Ala743 and Val726.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-2.08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113.6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221.3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53.2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3rd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1st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1st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Lapatinib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Dual EGFR/HER2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591.5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5.89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105.3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55.97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on the single 33-compound master table, reached Q2_CV = 0.31 for the EGFR docking score and 0.10 for the pristine-MXene interaction-energy model (n = 33,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2.4 Applicability domain (OECD Principle 3)</w:t>
      </w:r>
    </w:p>
    <w:p>
      <w:r>
        <w:t>The applicability domain was assessed by hat-matrix leverage on the same four descriptors used by the surrogate model (MolWt, MolMR, E_HOMO_eV, Omega_eV; Williams plot) [31-33]. The warning leverage is h* = 0.429 for the pristine-MXene system (n = 35) and h* = 0.455 for the EGFR docking system (n = 33); 33/35 and 32/33 compounds, respectively, fall inside the domain (leverage below h* and standardized residual within +/-3sigma).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40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0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EGFR docking and Pristine-MXene systems, same four descriptors as the surrogate model).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2.5 Representative binding modes</w:t>
      </w:r>
    </w:p>
    <w:p>
      <w:r>
        <w:t>Inspection of the top-ranked docked poses on EGFR (PDB 4ZAU) shows the inhibitors occupying the ATP cleft with contacts to the residues in Figure 4 (Thr790, Met793, Leu844, Ala743). On the pristine Ti3C2O2 surface the strongest-binding drugs lie flat against the oxygen termination, consistent with the dispersion-dominated interaction energies of Section 2.1.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2.6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Conclusions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Experimental</w:t>
      </w:r>
    </w:p>
    <w:p>
      <w:r>
        <w:t>4.1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4.2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4.3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 and the Zenodo deposit 10.5281/zenodo.22187857.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