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/>
      </w:pPr>
      <w:r>
        <w:rPr>
          <w:b/>
        </w:rPr>
        <w:t xml:space="preserve">Context </w:t>
      </w:r>
      <w:r>
        <w:t>Glioblastoma multiforme (GBM) is the most lethal primary malignant central nervous system neoplasm in adults, with a median survival below 15 months, driven by therapeutic resistance and the restrictive physiology of the blood-brain barrier. We evaluate 2D Ti3C2Tx MXene as a candidate delivery scaffold for 35 clinical CNS and GBM therapeutics, combining GFN2-xTB quantum chemistry, AutoDock Vina docking against the EGFR kinase domain, and a leak-free cross-validated Nano-QSAR surrogate. Real GFN2-xTB interaction energies on the pristine Ti3C2O2 cluster range from -0.9 to -15.5 kcal/mol. Docking gave Vina scores of -3.83 to -9.18 kcal/mol (mean -7.11), with the surrogate reaching Q2_CV = 0.31 for the docking score and 0.10 for the MXene interaction energy -- at best weakly predictive, reported as exploratory. OECD Principle 3 applicability-domain analysis (Williams leverage, same four descriptors as the surrogate) places 33/35 compounds inside the domain for the pristine-MXene system and 32/33 for the EGFR docking system.</w:t>
      </w:r>
    </w:p>
    <w:p>
      <w:pPr>
        <w:spacing w:after="160"/>
      </w:pPr>
      <w:r>
        <w:rPr>
          <w:b/>
        </w:rPr>
        <w:t xml:space="preserve">Methods </w:t>
      </w:r>
      <w:r>
        <w:t>Each isolated drug, the pristine Ti3C2O2 MXene cluster, and every complex were geometry-optimized and evaluated at single point with GFN2-xTB (xtb v6.7.1, D4 dispersion); frontier-orbital and conceptual-DFT reactivity indices were read directly from the xtb output. The human EGFR kinase domain (PDB ID: 4ZAU, 2.80 Å; 2J6M as a secondary control) was docked with AutoDock Vina v1.2.7, benchmarked by self-redocking of the co-crystallized ligand. A StandardScaler+RidgeCV surrogate was trained inside a leak-free nested 5×5 cross-validation, with feature importance inspected via an ExtraTrees estimator and SHAP; the applicability domain follows OECD Principle 3 (Williams-leverage analysis).</w:t>
      </w:r>
    </w:p>
    <w:p>
      <w:pPr>
        <w:spacing w:after="280"/>
      </w:pPr>
      <w:r>
        <w:rPr>
          <w:b/>
        </w:rPr>
        <w:t xml:space="preserve">Keywords: </w:t>
      </w:r>
      <w:r/>
      <w:r>
        <w:t>2D MXene (Ti3C2Tx); Glioblastoma; Blood-Brain Barrier; EGFR Kinase; AutoDock Vina; Explainable AI (SHAP).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Experimental</w:t>
      </w:r>
    </w:p>
    <w:p>
      <w:r>
        <w:t>2.1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2.2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2.3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-2.08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113.6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221.3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53.2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3rd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Dual EGFR/HER2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591.5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105.3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55.97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3.1.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Summary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