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single-point interaction energies for all 35 therapeutics on a pristine Ti3C2O2 MXene cluster, Delta_E_int,SP = -0.9 to -15.5 kcal/mol; frontier-orbital and conceptual-DFT indices taken from the xtb output.</w:t>
      </w:r>
    </w:p>
    <w:p>
      <w:pPr>
        <w:ind w:left="432"/>
      </w:pPr>
      <w:r>
        <w:t>Physical AutoDock Vina v1.2.7 docking against the EGFR kinase domain (PDB 4ZAU; 2J6M as control).</w:t>
      </w:r>
    </w:p>
    <w:p>
      <w:pPr>
        <w:ind w:left="432"/>
      </w:pPr>
      <w:r>
        <w:t>Leak-free nested 5x5 cross-validated surrogate model on the real Delta_E_int,SP; performance is modest and the feature-importance analysis is presented as exploratory.</w:t>
      </w:r>
    </w:p>
    <w:p>
      <w:pPr>
        <w:ind w:left="432"/>
      </w:pPr>
      <w:r>
        <w:t>OECD Principle 3 applicability domain by Williams leverage on the real descriptor matrix.</w:t>
      </w:r>
    </w:p>
    <w:p>
      <w:pPr>
        <w:ind w:left="432"/>
      </w:pPr>
      <w:r>
        <w:t>The Ti3C2-Angiopep-2 functionalized carrier is proposed as future work; it has no real data in this study.</w:t>
      </w:r>
    </w:p>
    <w:p>
      <w:pPr>
        <w:ind w:left="432"/>
      </w:pPr>
      <w:r>
        <w:t>Full open-source pipeline and data archive (Zenodo 10.5281/zenodo.22187857).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