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 w:line="276" w:lineRule="auto"/>
      </w:pPr>
      <w:r>
        <w:t>Glioblastoma multiforme (GBM) is the most lethal primary malignant central nervous system neoplasm in adults, with a median survival below 15 months, driven by therapeutic resistance and the restrictive physiology of the blood-brain barrier (BBB) [1,3]. Here we present an integrated computational framework combining GFN2-xTB tight-binding quantum chemistry (with D4 dispersion) [26,27], physical molecular docking (AutoDock Vina v1.2.7 [28,29] against the human EGFR kinase domain, PDB ID: 4ZAU, 2.80 Å, with 2J6M as a secondary control), and a leak-free cross-validated explainable Nano-QSAR surrogate, for a curated set of 35 clinical CNS and GBM therapeutics. Real GFN2-xTB single-point interaction energies of all 35 drugs on the pristine oxygen-terminated Ti3C2O2 MXene cluster range from -0.9 to -15.5 kcal/mol. An Angiopep-2-functionalized MXene for LRP-1-mediated transcytosis is discussed only as future work, since no real structural or quantum data for it exist in this study. Docking against EGFR (exploratory; redocking heavy-atom RMSD 5.32 Å) gave Vina scores of -3.96 to -8.94 kcal/mol (mean -7.16), with recurrent contacts at Asp392, His394, Arg427 and Thr391. A leak-free nested 5x5 cross-validated RidgeCV surrogate on the real data reached Q2_CV = 0.65 (isolated descriptors) and 0.10 (pristine-MXene interaction energy); the feature-importance analysis is reported as exploratory. OECD Principle 3 applicability-domain analysis (Williams leverage) places all 35 compounds inside the domain in both real-data systems. Every value reported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MXene (Ti3C2Tx); Glioblastoma; Blood-Brain Barrier; EGFR kinase;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Computational and Experimental Section</w:t>
      </w:r>
    </w:p>
    <w:p>
      <w:r>
        <w:t>2.1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2.2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2.3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3.2 Molecular docking against the EGFR kinase domain</w:t>
      </w:r>
    </w:p>
    <w:p>
      <w:r>
        <w:t>AutoDock Vina v1.2.7 screening of the 35 therapeutics against EGFR (PDB 4ZAU) gave scores from -3.96 to -8.94 kcal/mol (mean -7.16 kcal/mol). The highest-ranked compounds were entrectinib (-8.94), sorafenib (-8.66), trametinib (-8.50), cobimetinib (-8.49) and cabozantinib (-8.29 kcal/mol).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Asp392, His394, Arg427, Thr391 and Arg390.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 (Gold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119.5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206.3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Nitrosourea Alkylator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271.7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3rd-Gen EGFR/EGFRvIII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Pan-ErbB/EGFR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Dacomitinib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2nd-Gen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79.4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48.91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 reached Q2_CV = 0.65 for the isolated-descriptor model and 0.10 for the pristine-MXene interaction-energy model, with RMSE of 0.54 and 3.95 kcal/mol respectively (n = 35, four descriptors each: MolWt, MolMR, E_HOMO, omega). The pristine-MXene model is therefore only weakly predictive, and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180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3.4 Applicability domain (OECD Principle 3)</w:t>
      </w:r>
    </w:p>
    <w:p>
      <w:r>
        <w:t>The applicability domain was assessed by hat-matrix leverage on the real descriptor matrix (Williams plot) [31-33]. With the full descriptor set the warning leverage is h* = 1.80 for the isolated-drug system (20 descriptors) and h* = 0.77 for the pristine-MXene system (8 descriptors); all 35 compounds fall inside the domain (leverage below h* and standardized residual within +/-3sigma) in both cases.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16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1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Isolated and Pristine-MXene systems).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3.5 Representative binding modes</w:t>
      </w:r>
    </w:p>
    <w:p>
      <w:r>
        <w:t>Inspection of the top-ranked docked poses on EGFR (PDB 4ZAU) shows the inhibitors occupying the ATP cleft with contacts to the residues in Figure 4 (Asp392, His394, Arg427, Thr391). On the pristine Ti3C2O2 surface the strongest-binding drugs lie flat against the oxygen termination, consistent with the dispersion-dominated interaction energies of Section 3.1.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Conclusions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