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30"/>
        </w:rPr>
        <w:t>Supporting Information (Online Resource 1)</w:t>
      </w:r>
    </w:p>
    <w:p>
      <w:pPr>
        <w:spacing w:after="80"/>
        <w:jc w:val="left"/>
      </w:pPr>
      <w:r>
        <w:rPr>
          <w:sz w:val="22"/>
        </w:rPr>
        <w:t>Glioblastoma drugs and a Ti</w:t>
      </w:r>
      <w:r>
        <w:rPr>
          <w:sz w:val="22"/>
          <w:vertAlign w:val="subscript"/>
        </w:rPr>
        <w:t>3</w:t>
      </w:r>
      <w:r>
        <w:rPr>
          <w:sz w:val="22"/>
        </w:rPr>
        <w:t>C</w:t>
      </w:r>
      <w:r>
        <w:rPr>
          <w:sz w:val="22"/>
          <w:vertAlign w:val="subscript"/>
        </w:rPr>
        <w:t>2</w:t>
      </w:r>
      <w:r>
        <w:rPr>
          <w:sz w:val="22"/>
        </w:rPr>
        <w:t>O</w:t>
      </w:r>
      <w:r>
        <w:rPr>
          <w:sz w:val="22"/>
          <w:vertAlign w:val="subscript"/>
        </w:rPr>
        <w:t>2</w:t>
      </w:r>
      <w:r>
        <w:rPr>
          <w:sz w:val="22"/>
        </w:rPr>
        <w:t xml:space="preserve"> MXene carrier: docking controls, tight-binding tests and periodic DFT adsorption</w:t>
      </w:r>
    </w:p>
    <w:p>
      <w:pPr>
        <w:spacing w:after="80"/>
        <w:jc w:val="left"/>
      </w:pPr>
      <w:r>
        <w:rPr>
          <w:i/>
          <w:sz w:val="20"/>
        </w:rPr>
        <w:t>Journal of Molecular Modeling</w:t>
      </w:r>
    </w:p>
    <w:p>
      <w:pPr>
        <w:spacing w:after="40"/>
        <w:jc w:val="left"/>
      </w:pPr>
      <w:r>
        <w:rPr>
          <w:sz w:val="20"/>
        </w:rPr>
        <w:t>Andrés Monreal Hernández</w:t>
      </w:r>
    </w:p>
    <w:p>
      <w:pPr>
        <w:spacing w:after="40"/>
        <w:jc w:val="left"/>
      </w:pPr>
      <w:r>
        <w:rPr>
          <w:sz w:val="20"/>
        </w:rPr>
        <w:t>Universidad Estatal de Sonora, Ley Federal del Trabajo S/N, Col. Apolo, 83100 Hermosillo, Sonora, Mexico</w:t>
      </w:r>
    </w:p>
    <w:p>
      <w:pPr>
        <w:spacing w:after="280"/>
        <w:jc w:val="left"/>
      </w:pPr>
      <w:r>
        <w:rPr>
          <w:sz w:val="20"/>
        </w:rPr>
        <w:t>Corresponding author: andres.monreal@ues.mx</w:t>
      </w:r>
    </w:p>
    <w:p>
      <w:pPr>
        <w:keepNext/>
        <w:spacing w:after="80"/>
      </w:pPr>
      <w:r>
        <w:rPr>
          <w:b/>
          <w:sz w:val="20"/>
        </w:rPr>
        <w:t>Table S1</w:t>
      </w:r>
      <w:r>
        <w:rPr>
          <w:sz w:val="20"/>
        </w:rPr>
        <w:t xml:space="preserve"> </w:t>
      </w:r>
      <w:r>
        <w:rPr>
          <w:sz w:val="20"/>
        </w:rPr>
        <w:t>Compounds (structures from PubChem, identity checked by InChIKey) with their Vina score in EGFR (PDB 1M17, kcal mol</w:t>
      </w:r>
      <w:r>
        <w:rPr>
          <w:sz w:val="20"/>
          <w:vertAlign w:val="superscript"/>
        </w:rPr>
        <w:t>−1</w:t>
      </w:r>
      <w:r>
        <w:rPr>
          <w:sz w:val="20"/>
        </w:rPr>
        <w:t>) and ligand efficiency (kcal mol</w:t>
      </w:r>
      <w:r>
        <w:rPr>
          <w:sz w:val="20"/>
          <w:vertAlign w:val="superscript"/>
        </w:rPr>
        <w:t>−1</w:t>
      </w:r>
      <w:r>
        <w:rPr>
          <w:sz w:val="20"/>
        </w:rPr>
        <w:t xml:space="preserve"> per heavy atom). Bortezomib was not docked: AutoDock Vina has no boron atom type.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070" w:type="dxa"/>
      </w:tblPr>
      <w:tblGrid>
        <w:gridCol w:w="1612"/>
        <w:gridCol w:w="2620"/>
        <w:gridCol w:w="1411"/>
        <w:gridCol w:w="1814"/>
        <w:gridCol w:w="806"/>
        <w:gridCol w:w="806"/>
      </w:tblGrid>
      <w:tr>
        <w:tc>
          <w:tcPr>
            <w:tcW w:type="dxa" w:w="161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Compound</w:t>
            </w:r>
          </w:p>
        </w:tc>
        <w:tc>
          <w:tcPr>
            <w:tcW w:type="dxa" w:w="2620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Family</w:t>
            </w:r>
          </w:p>
        </w:tc>
        <w:tc>
          <w:tcPr>
            <w:tcW w:type="dxa" w:w="141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PubChem CID</w:t>
            </w:r>
          </w:p>
        </w:tc>
        <w:tc>
          <w:tcPr>
            <w:tcW w:type="dxa" w:w="1814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Formula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Vina</w:t>
            </w:r>
          </w:p>
        </w:tc>
        <w:tc>
          <w:tcPr>
            <w:tcW w:type="dxa" w:w="806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LE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Abemaciclib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46220502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27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32</w:t>
            </w:r>
            <w:r>
              <w:rPr>
                <w:sz w:val="15"/>
              </w:rPr>
              <w:t>F</w:t>
            </w:r>
            <w:r>
              <w:rPr>
                <w:sz w:val="15"/>
                <w:vertAlign w:val="subscript"/>
              </w:rPr>
              <w:t>2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8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−9.65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0.261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Afatinib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EGFR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10184653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24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25</w:t>
            </w:r>
            <w:r>
              <w:rPr>
                <w:sz w:val="15"/>
              </w:rPr>
              <w:t>ClFN</w:t>
            </w:r>
            <w:r>
              <w:rPr>
                <w:sz w:val="15"/>
                <w:vertAlign w:val="subscript"/>
              </w:rPr>
              <w:t>5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−8.03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0.236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Axitinib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6450551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22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18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OS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−8.56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0.306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Bortezomib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targeted agents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387447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19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25</w:t>
            </w:r>
            <w:r>
              <w:rPr>
                <w:sz w:val="15"/>
              </w:rPr>
              <w:t>BN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Brigatinib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68165256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29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39</w:t>
            </w:r>
            <w:r>
              <w:rPr>
                <w:sz w:val="15"/>
              </w:rPr>
              <w:t>ClN</w:t>
            </w:r>
            <w:r>
              <w:rPr>
                <w:sz w:val="15"/>
                <w:vertAlign w:val="subscript"/>
              </w:rPr>
              <w:t>7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  <w:r>
              <w:rPr>
                <w:sz w:val="15"/>
              </w:rPr>
              <w:t>P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−8.64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0.216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Buparlisib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16654980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18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21</w:t>
            </w:r>
            <w:r>
              <w:rPr>
                <w:sz w:val="15"/>
              </w:rPr>
              <w:t>F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6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−8.34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0.287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Cabozantinib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25102847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28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24</w:t>
            </w:r>
            <w:r>
              <w:rPr>
                <w:sz w:val="15"/>
              </w:rPr>
              <w:t>FN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5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−8.66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0.234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Carmustine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Alkylating agents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2578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5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9</w:t>
            </w:r>
            <w:r>
              <w:rPr>
                <w:sz w:val="15"/>
              </w:rPr>
              <w:t>Cl</w:t>
            </w:r>
            <w:r>
              <w:rPr>
                <w:sz w:val="15"/>
                <w:vertAlign w:val="subscript"/>
              </w:rPr>
              <w:t>2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−4.75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0.396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Cediranib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9933475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25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27</w:t>
            </w:r>
            <w:r>
              <w:rPr>
                <w:sz w:val="15"/>
              </w:rPr>
              <w:t>FN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−8.12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0.246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Cobimetinib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16222096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21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21</w:t>
            </w:r>
            <w:r>
              <w:rPr>
                <w:sz w:val="15"/>
              </w:rPr>
              <w:t>F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IN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−9.01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0.300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Dabrafenib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44462760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23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20</w:t>
            </w:r>
            <w:r>
              <w:rPr>
                <w:sz w:val="15"/>
              </w:rPr>
              <w:t>F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5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  <w:r>
              <w:rPr>
                <w:sz w:val="15"/>
              </w:rPr>
              <w:t>S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−8.71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0.249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Dacomitinib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EGFR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11511120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24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25</w:t>
            </w:r>
            <w:r>
              <w:rPr>
                <w:sz w:val="15"/>
              </w:rPr>
              <w:t>ClFN</w:t>
            </w:r>
            <w:r>
              <w:rPr>
                <w:sz w:val="15"/>
                <w:vertAlign w:val="subscript"/>
              </w:rPr>
              <w:t>5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−8.78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0.266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Erlotinib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EGFR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176870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22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23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−7.27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0.251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Everolimus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targeted agents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6442177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53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83</w:t>
            </w:r>
            <w:r>
              <w:rPr>
                <w:sz w:val="15"/>
              </w:rPr>
              <w:t>NO</w:t>
            </w:r>
            <w:r>
              <w:rPr>
                <w:sz w:val="15"/>
                <w:vertAlign w:val="subscript"/>
              </w:rPr>
              <w:t>14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−7.84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0.115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Gefitinib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EGFR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123631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22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24</w:t>
            </w:r>
            <w:r>
              <w:rPr>
                <w:sz w:val="15"/>
              </w:rPr>
              <w:t>ClFN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−8.10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0.261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Larotrectinib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46188928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21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22</w:t>
            </w:r>
            <w:r>
              <w:rPr>
                <w:sz w:val="15"/>
              </w:rPr>
              <w:t>F</w:t>
            </w:r>
            <w:r>
              <w:rPr>
                <w:sz w:val="15"/>
                <w:vertAlign w:val="subscript"/>
              </w:rPr>
              <w:t>2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6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−9.19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0.296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Lenvatinib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9823820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21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19</w:t>
            </w:r>
            <w:r>
              <w:rPr>
                <w:sz w:val="15"/>
              </w:rPr>
              <w:t>ClN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−8.10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0.270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Lomustine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Alkylating agents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3950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9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16</w:t>
            </w:r>
            <w:r>
              <w:rPr>
                <w:sz w:val="15"/>
              </w:rPr>
              <w:t>ClN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−6.25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0.417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Marizomib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targeted agents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11347535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15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20</w:t>
            </w:r>
            <w:r>
              <w:rPr>
                <w:sz w:val="15"/>
              </w:rPr>
              <w:t>ClNO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−7.00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0.333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Nimustine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Alkylating agents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39214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9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13</w:t>
            </w:r>
            <w:r>
              <w:rPr>
                <w:sz w:val="15"/>
              </w:rPr>
              <w:t>ClN</w:t>
            </w:r>
            <w:r>
              <w:rPr>
                <w:sz w:val="15"/>
                <w:vertAlign w:val="subscript"/>
              </w:rPr>
              <w:t>6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−6.05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0.336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Osimertinib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EGFR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71496458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28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33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7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−8.14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0.220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Palbociclib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5330286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24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29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7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−9.11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0.276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Paxalisib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57384863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18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22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8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−8.10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0.289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Pazopanib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10113978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21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23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7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  <w:r>
              <w:rPr>
                <w:sz w:val="15"/>
              </w:rPr>
              <w:t>S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−8.53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0.275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Procarbazine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Alkylating agents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4915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12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19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O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−6.47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0.404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Regorafenib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11167602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21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15</w:t>
            </w:r>
            <w:r>
              <w:rPr>
                <w:sz w:val="15"/>
              </w:rPr>
              <w:t>ClF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−8.77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0.266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Ribociclib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44631912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23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30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8</w:t>
            </w:r>
            <w:r>
              <w:rPr>
                <w:sz w:val="15"/>
              </w:rPr>
              <w:t>O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−8.45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0.264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Selumetinib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10127622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17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15</w:t>
            </w:r>
            <w:r>
              <w:rPr>
                <w:sz w:val="15"/>
              </w:rPr>
              <w:t>BrClFN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−8.11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0.300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Sorafenib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216239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21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16</w:t>
            </w:r>
            <w:r>
              <w:rPr>
                <w:sz w:val="15"/>
              </w:rPr>
              <w:t>ClF</w:t>
            </w:r>
            <w:r>
              <w:rPr>
                <w:sz w:val="15"/>
                <w:vertAlign w:val="subscript"/>
              </w:rPr>
              <w:t>3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−8.52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0.266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Sunitinib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5329102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22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27</w:t>
            </w:r>
            <w:r>
              <w:rPr>
                <w:sz w:val="15"/>
              </w:rPr>
              <w:t>FN</w:t>
            </w:r>
            <w:r>
              <w:rPr>
                <w:sz w:val="15"/>
                <w:vertAlign w:val="subscript"/>
              </w:rPr>
              <w:t>4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−7.86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0.271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Temozolomide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Alkylating agents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5394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6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6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6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2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−5.98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0.427</w:t>
            </w:r>
          </w:p>
        </w:tc>
      </w:tr>
      <w:tr>
        <w:tc>
          <w:tcPr>
            <w:tcW w:type="dxa" w:w="1613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Trametinib</w:t>
            </w:r>
          </w:p>
        </w:tc>
        <w:tc>
          <w:tcPr>
            <w:tcW w:type="dxa" w:w="2620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kinase inhibitors</w:t>
            </w:r>
          </w:p>
        </w:tc>
        <w:tc>
          <w:tcPr>
            <w:tcW w:type="dxa" w:w="141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11707110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26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23</w:t>
            </w:r>
            <w:r>
              <w:rPr>
                <w:sz w:val="15"/>
              </w:rPr>
              <w:t>FIN</w:t>
            </w:r>
            <w:r>
              <w:rPr>
                <w:sz w:val="15"/>
                <w:vertAlign w:val="subscript"/>
              </w:rPr>
              <w:t>5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4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−8.55</w:t>
            </w:r>
          </w:p>
        </w:tc>
        <w:tc>
          <w:tcPr>
            <w:tcW w:type="dxa" w:w="806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0.231</w:t>
            </w:r>
          </w:p>
        </w:tc>
      </w:tr>
      <w:tr>
        <w:tc>
          <w:tcPr>
            <w:tcW w:type="dxa" w:w="161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Vorinostat</w:t>
            </w:r>
          </w:p>
        </w:tc>
        <w:tc>
          <w:tcPr>
            <w:tcW w:type="dxa" w:w="2620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Other targeted agents</w:t>
            </w:r>
          </w:p>
        </w:tc>
        <w:tc>
          <w:tcPr>
            <w:tcW w:type="dxa" w:w="141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5311</w:t>
            </w:r>
          </w:p>
        </w:tc>
        <w:tc>
          <w:tcPr>
            <w:tcW w:type="dxa" w:w="1814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</w:t>
            </w:r>
            <w:r>
              <w:rPr>
                <w:sz w:val="15"/>
                <w:vertAlign w:val="subscript"/>
              </w:rPr>
              <w:t>14</w:t>
            </w:r>
            <w:r>
              <w:rPr>
                <w:sz w:val="15"/>
              </w:rPr>
              <w:t>H</w:t>
            </w:r>
            <w:r>
              <w:rPr>
                <w:sz w:val="15"/>
                <w:vertAlign w:val="subscript"/>
              </w:rPr>
              <w:t>20</w:t>
            </w:r>
            <w:r>
              <w:rPr>
                <w:sz w:val="15"/>
              </w:rPr>
              <w:t>N</w:t>
            </w:r>
            <w:r>
              <w:rPr>
                <w:sz w:val="15"/>
                <w:vertAlign w:val="subscript"/>
              </w:rPr>
              <w:t>2</w:t>
            </w:r>
            <w:r>
              <w:rPr>
                <w:sz w:val="15"/>
              </w:rPr>
              <w:t>O</w:t>
            </w:r>
            <w:r>
              <w:rPr>
                <w:sz w:val="15"/>
                <w:vertAlign w:val="subscript"/>
              </w:rPr>
              <w:t>3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−6.62</w:t>
            </w:r>
          </w:p>
        </w:tc>
        <w:tc>
          <w:tcPr>
            <w:tcW w:type="dxa" w:w="806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0.349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S2</w:t>
      </w:r>
      <w:r>
        <w:rPr>
          <w:sz w:val="20"/>
        </w:rPr>
        <w:t xml:space="preserve"> </w:t>
      </w:r>
      <w:r>
        <w:rPr>
          <w:sz w:val="20"/>
        </w:rPr>
        <w:t>xtb calculations attempted on finite Ti</w:t>
      </w:r>
      <w:r>
        <w:rPr>
          <w:sz w:val="20"/>
          <w:vertAlign w:val="subscript"/>
        </w:rPr>
        <w:t>3</w:t>
      </w:r>
      <w:r>
        <w:rPr>
          <w:sz w:val="20"/>
        </w:rPr>
        <w:t>C</w:t>
      </w:r>
      <w:r>
        <w:rPr>
          <w:sz w:val="20"/>
          <w:vertAlign w:val="subscript"/>
        </w:rPr>
        <w:t>2</w:t>
      </w:r>
      <w:r>
        <w:rPr>
          <w:sz w:val="20"/>
        </w:rPr>
        <w:t>O</w:t>
      </w:r>
      <w:r>
        <w:rPr>
          <w:sz w:val="20"/>
          <w:vertAlign w:val="subscript"/>
        </w:rPr>
        <w:t>2</w:t>
      </w:r>
      <w:r>
        <w:rPr>
          <w:sz w:val="20"/>
        </w:rPr>
        <w:t xml:space="preserve"> flakes. uhf, number of unpaired electrons; </w:t>
      </w:r>
      <w:r>
        <w:rPr>
          <w:i/>
          <w:sz w:val="20"/>
        </w:rPr>
        <w:t>T</w:t>
      </w:r>
      <w:r>
        <w:rPr>
          <w:sz w:val="20"/>
          <w:vertAlign w:val="subscript"/>
        </w:rPr>
        <w:t>el</w:t>
      </w:r>
      <w:r>
        <w:rPr>
          <w:sz w:val="20"/>
        </w:rPr>
        <w:t>, electronic temperature (K).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070" w:type="dxa"/>
      </w:tblPr>
      <w:tblGrid>
        <w:gridCol w:w="3690"/>
        <w:gridCol w:w="375"/>
        <w:gridCol w:w="563"/>
        <w:gridCol w:w="563"/>
        <w:gridCol w:w="375"/>
        <w:gridCol w:w="437"/>
        <w:gridCol w:w="2064"/>
        <w:gridCol w:w="1000"/>
      </w:tblGrid>
      <w:tr>
        <w:tc>
          <w:tcPr>
            <w:tcW w:type="dxa" w:w="369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4"/>
              </w:rPr>
              <w:t>Structure</w:t>
            </w:r>
          </w:p>
        </w:tc>
        <w:tc>
          <w:tcPr>
            <w:tcW w:type="dxa" w:w="375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4"/>
              </w:rPr>
              <w:t>Run</w:t>
            </w:r>
          </w:p>
        </w:tc>
        <w:tc>
          <w:tcPr>
            <w:tcW w:type="dxa" w:w="56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56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4"/>
              </w:rPr>
              <w:t>Charge</w:t>
            </w:r>
          </w:p>
        </w:tc>
        <w:tc>
          <w:tcPr>
            <w:tcW w:type="dxa" w:w="375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4"/>
              </w:rPr>
              <w:t>uhf</w:t>
            </w:r>
          </w:p>
        </w:tc>
        <w:tc>
          <w:tcPr>
            <w:tcW w:type="dxa" w:w="43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4"/>
              </w:rPr>
              <w:t>T</w:t>
            </w:r>
            <w:r>
              <w:rPr>
                <w:b/>
                <w:sz w:val="14"/>
                <w:vertAlign w:val="subscript"/>
              </w:rPr>
              <w:t>el</w:t>
            </w:r>
          </w:p>
        </w:tc>
        <w:tc>
          <w:tcPr>
            <w:tcW w:type="dxa" w:w="2064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4"/>
              </w:rPr>
              <w:t>Options</w:t>
            </w:r>
          </w:p>
        </w:tc>
        <w:tc>
          <w:tcPr>
            <w:tcW w:type="dxa" w:w="100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4"/>
              </w:rPr>
              <w:t>SCF converged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opt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3000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--acc 0.1</w:t>
            </w: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GFN1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earlier non-stoichiometric Ti12C7O14 cluster (discarded)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300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-2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-2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restarted from dianion charges</w:t>
            </w: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3000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damped</w:t>
            </w: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3000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damped gasteiger guess</w:t>
            </w: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3000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damped</w:t>
            </w: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GFN1</w:t>
            </w:r>
          </w:p>
        </w:tc>
        <w:tc>
          <w:tcPr>
            <w:tcW w:type="dxa" w:w="563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3000</w:t>
            </w:r>
          </w:p>
        </w:tc>
        <w:tc>
          <w:tcPr>
            <w:tcW w:type="dxa" w:w="2064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damped</w:t>
            </w:r>
          </w:p>
        </w:tc>
        <w:tc>
          <w:tcPr>
            <w:tcW w:type="dxa" w:w="1001"/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  <w:tr>
        <w:tc>
          <w:tcPr>
            <w:tcW w:type="dxa" w:w="369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Ti55C24O20 flake or smaller cut</w:t>
            </w:r>
          </w:p>
        </w:tc>
        <w:tc>
          <w:tcPr>
            <w:tcW w:type="dxa" w:w="375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sp</w:t>
            </w:r>
          </w:p>
        </w:tc>
        <w:tc>
          <w:tcPr>
            <w:tcW w:type="dxa" w:w="56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4"/>
              </w:rPr>
              <w:t>GFN2</w:t>
            </w:r>
          </w:p>
        </w:tc>
        <w:tc>
          <w:tcPr>
            <w:tcW w:type="dxa" w:w="56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375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43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1500</w:t>
            </w:r>
          </w:p>
        </w:tc>
        <w:tc>
          <w:tcPr>
            <w:tcW w:type="dxa" w:w="2064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</w:p>
        </w:tc>
        <w:tc>
          <w:tcPr>
            <w:tcW w:type="dxa" w:w="100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4"/>
              </w:rPr>
              <w:t>no</w:t>
            </w:r>
          </w:p>
        </w:tc>
      </w:tr>
    </w:tbl>
    <w:p>
      <w:pPr>
        <w:spacing w:after="80"/>
      </w:pPr>
    </w:p>
    <w:p>
      <w:r>
        <w:rPr>
          <w:b/>
          <w:highlight w:val="yellow"/>
        </w:rPr>
        <w:t>[Table S3 (DFT convergence checks) is generated when results/quantum/dft_convergence_checks.csv exists.]</w:t>
      </w:r>
    </w:p>
    <w:p>
      <w:pPr>
        <w:keepNext/>
        <w:spacing w:after="80"/>
      </w:pPr>
      <w:r>
        <w:rPr>
          <w:b/>
          <w:sz w:val="20"/>
        </w:rPr>
        <w:t>Table S4</w:t>
      </w:r>
      <w:r>
        <w:rPr>
          <w:sz w:val="20"/>
        </w:rPr>
        <w:t xml:space="preserve"> </w:t>
      </w:r>
      <w:r>
        <w:rPr>
          <w:sz w:val="20"/>
        </w:rPr>
        <w:t>Every output mode of the two erlotinib redocking controls in PDB 1M17: Vina score and heavy-atom RMSD to the crystal pose (symmetry-aware, no re-alignment).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8390" w:type="dxa"/>
      </w:tblPr>
      <w:tblGrid>
        <w:gridCol w:w="4081"/>
        <w:gridCol w:w="793"/>
        <w:gridCol w:w="2267"/>
        <w:gridCol w:w="1247"/>
      </w:tblGrid>
      <w:tr>
        <w:tc>
          <w:tcPr>
            <w:tcW w:type="dxa" w:w="4082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Control</w:t>
            </w:r>
          </w:p>
        </w:tc>
        <w:tc>
          <w:tcPr>
            <w:tcW w:type="dxa" w:w="794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Mode</w:t>
            </w:r>
          </w:p>
        </w:tc>
        <w:tc>
          <w:tcPr>
            <w:tcW w:type="dxa" w:w="226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Vina (kcal mol</w:t>
            </w:r>
            <w:r>
              <w:rPr>
                <w:b/>
                <w:sz w:val="15"/>
                <w:vertAlign w:val="superscript"/>
              </w:rPr>
              <w:t>−1</w:t>
            </w:r>
            <w:r>
              <w:rPr>
                <w:b/>
                <w:sz w:val="15"/>
              </w:rPr>
              <w:t>)</w:t>
            </w:r>
          </w:p>
        </w:tc>
        <w:tc>
          <w:tcPr>
            <w:tcW w:type="dxa" w:w="1247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RMSD (Å)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−7.020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5.94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−6.935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7.96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−6.885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9.45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−6.836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6.03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−6.829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4.75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−6.808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1.13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−6.785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8.81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−6.758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2.33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self-redock, crystal conformation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−6.745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7.42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−7.284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7.61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−7.214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4.92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−7.176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5.97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−7.163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6.02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−7.130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8.44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−7.042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8.32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−7.013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1.44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−6.882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7.99</w:t>
            </w:r>
          </w:p>
        </w:tc>
      </w:tr>
      <w:tr>
        <w:tc>
          <w:tcPr>
            <w:tcW w:type="dxa" w:w="4082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production protocol, from SMILES</w:t>
            </w:r>
          </w:p>
        </w:tc>
        <w:tc>
          <w:tcPr>
            <w:tcW w:type="dxa" w:w="794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226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−6.833</w:t>
            </w:r>
          </w:p>
        </w:tc>
        <w:tc>
          <w:tcPr>
            <w:tcW w:type="dxa" w:w="1247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7.25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S5</w:t>
      </w:r>
      <w:r>
        <w:rPr>
          <w:sz w:val="20"/>
        </w:rPr>
        <w:t xml:space="preserve"> </w:t>
      </w:r>
      <w:r>
        <w:rPr>
          <w:sz w:val="20"/>
        </w:rPr>
        <w:t>Energy of the periodic 4×4 Ti</w:t>
      </w:r>
      <w:r>
        <w:rPr>
          <w:sz w:val="20"/>
          <w:vertAlign w:val="subscript"/>
        </w:rPr>
        <w:t>3</w:t>
      </w:r>
      <w:r>
        <w:rPr>
          <w:sz w:val="20"/>
        </w:rPr>
        <w:t>C</w:t>
      </w:r>
      <w:r>
        <w:rPr>
          <w:sz w:val="20"/>
          <w:vertAlign w:val="subscript"/>
        </w:rPr>
        <w:t>2</w:t>
      </w:r>
      <w:r>
        <w:rPr>
          <w:sz w:val="20"/>
        </w:rPr>
        <w:t>O</w:t>
      </w:r>
      <w:r>
        <w:rPr>
          <w:sz w:val="20"/>
          <w:vertAlign w:val="subscript"/>
        </w:rPr>
        <w:t>2</w:t>
      </w:r>
      <w:r>
        <w:rPr>
          <w:sz w:val="20"/>
        </w:rPr>
        <w:t xml:space="preserve"> slab per formula unit against the in-plane lattice constant, GFN2-xTB and GFN1-xTB (tblite, Γ point, 1500 K). The GFN1-xTB values at 2.90 and 2.95 Å (−3082 to −3039 eV per f.u.) are unphysical, about 6.4 times the energy at the other lattice constants. PBE-D3 reference (last row): variable-cell relaxation of the primitive 1×1 cell with the settings of the adsorption calculations, 12×12×1 k-points, residual in-plane pressure −0.15 kbar; the slab uses a = 3.03 Å, 0.3% larger. A tetrahedron-method density of states on a 24×24×1 grid gives 1.0 states eV</w:t>
      </w:r>
      <w:r>
        <w:rPr>
          <w:sz w:val="20"/>
          <w:vertAlign w:val="superscript"/>
        </w:rPr>
        <w:t>−1</w:t>
      </w:r>
      <w:r>
        <w:rPr>
          <w:sz w:val="20"/>
        </w:rPr>
        <w:t xml:space="preserve"> per formula unit at the Fermi level: the material is metallic.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8050" w:type="dxa"/>
      </w:tblPr>
      <w:tblGrid>
        <w:gridCol w:w="1247"/>
        <w:gridCol w:w="907"/>
        <w:gridCol w:w="2040"/>
        <w:gridCol w:w="3855"/>
      </w:tblGrid>
      <w:tr>
        <w:tc>
          <w:tcPr>
            <w:tcW w:type="dxa" w:w="1247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type="dxa" w:w="907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5"/>
              </w:rPr>
              <w:t>a</w:t>
            </w:r>
            <w:r>
              <w:rPr>
                <w:b/>
                <w:sz w:val="15"/>
              </w:rPr>
              <w:t xml:space="preserve"> (Å)</w:t>
            </w:r>
          </w:p>
        </w:tc>
        <w:tc>
          <w:tcPr>
            <w:tcW w:type="dxa" w:w="204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5"/>
              </w:rPr>
              <w:t>E</w:t>
            </w:r>
            <w:r>
              <w:rPr>
                <w:b/>
                <w:sz w:val="15"/>
              </w:rPr>
              <w:t xml:space="preserve"> (eV per f.u.)</w:t>
            </w:r>
          </w:p>
        </w:tc>
        <w:tc>
          <w:tcPr>
            <w:tcW w:type="dxa" w:w="3855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Status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2.60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−463.453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2.65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−464.916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2.70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−495.901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2.75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−493.797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−491.783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−489.844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2.90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−487.972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2.95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−486.160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3.00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−484.408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3.05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−482.714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−481.078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−479.499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−477.976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GFN2-xTB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−476.510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2.60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SCF not converged in 500 cycles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2.65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SCF not converged in 500 cycles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2.70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SCF not converged in 500 cycles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2.75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SCF not converged in 500 cycles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SCF not converged in 500 cycles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SCF not converged in 500 cycles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2.90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−3039.118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2.95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−3081.802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3.00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−479.220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3.05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−479.069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−478.815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−478.472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−478.056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GFN1-xTB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−477.855</w:t>
            </w:r>
          </w:p>
        </w:tc>
        <w:tc>
          <w:tcPr>
            <w:tcW w:type="dxa" w:w="3855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ok</w:t>
            </w:r>
          </w:p>
        </w:tc>
      </w:tr>
      <w:tr>
        <w:tc>
          <w:tcPr>
            <w:tcW w:type="dxa" w:w="1247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PBE-D3</w:t>
            </w:r>
          </w:p>
        </w:tc>
        <w:tc>
          <w:tcPr>
            <w:tcW w:type="dxa" w:w="907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3.022</w:t>
            </w:r>
          </w:p>
        </w:tc>
        <w:tc>
          <w:tcPr>
            <w:tcW w:type="dxa" w:w="204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–</w:t>
            </w:r>
          </w:p>
        </w:tc>
        <w:tc>
          <w:tcPr>
            <w:tcW w:type="dxa" w:w="3855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reference optimum</w:t>
            </w:r>
          </w:p>
        </w:tc>
      </w:tr>
    </w:tbl>
    <w:p>
      <w:pPr>
        <w:spacing w:after="80"/>
      </w:pPr>
    </w:p>
    <w:p>
      <w:r>
        <w:rPr>
          <w:b/>
          <w:highlight w:val="yellow"/>
        </w:rPr>
        <w:t>[Table S6 (per-drug DFT details) is generated when the DFT campaign is complete.]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 w:distance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