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rPr>
          <w:rFonts w:ascii="Times New Roman" w:hAnsi="Times New Roman"/>
          <w:b/>
          <w:color w:val="004D40"/>
          <w:sz w:val="32"/>
        </w:rPr>
        <w:t>Quantum-Chemical Profiling and Explainable Nano-QSAR of Functionalized 2D Titanium Carbide MXene Nanosheets (Ti3C2Tx) for Targeted Glioblastoma Therapeutics Delivery</w:t>
      </w:r>
    </w:p>
    <w:p>
      <w:pPr>
        <w:spacing w:after="80"/>
      </w:pPr>
      <w:r>
        <w:rPr>
          <w:b/>
          <w:sz w:val="22"/>
        </w:rPr>
        <w:t>Andrés Monreal Hernández1*, Sara Lizbeth Franco Amaya2, and Carlos Ivanhoe Martínez Osorio3</w:t>
      </w:r>
    </w:p>
    <w:p>
      <w:pPr>
        <w:spacing w:after="240" w:line="264" w:lineRule="auto"/>
      </w:pPr>
      <w:r>
        <w:rPr>
          <w:i/>
          <w:color w:val="505050"/>
          <w:sz w:val="19"/>
        </w:rPr>
        <w:t>1 Universidad Estatal de Sonora, Ley Federal del Trabajo S/N, Col. Apolo, C.P. 83100, Hermosillo, Sonora, Mexico.</w:t>
        <w:br/>
        <w:t>2 Posgrado en Nanotecnología, Departamento de Física, Universidad de Sonora, Blvd. Luis Encinas y Rosales, C.P. 83000, Hermosillo, Sonora, Mexico.</w:t>
        <w:br/>
        <w:t>3 Posgrado en Ciencia de Materiales, Departamento de Investigación en Polímeros y Materiales, Universidad de Sonora, C.P. 83000, Hermosillo, Sonora, Mexico.</w:t>
        <w:br/>
        <w:t>*Corresponding Author: andres.monreal@ues.mx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Graphical Abstract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raphic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b/>
          <w:color w:val="004D40"/>
          <w:sz w:val="18"/>
        </w:rPr>
        <w:t xml:space="preserve">Graphical Abstract: </w:t>
      </w:r>
      <w:r>
        <w:rPr>
          <w:i/>
          <w:sz w:val="18"/>
        </w:rPr>
        <w:t xml:space="preserve"> Multi-scale computational framework for targeted glioblastoma therapeutics delivery. (Left) Target engagement in the ATP-binding catalytic cleft of the human EGFR kinase domain (Primary target: PDB ID 4ZAU, 2.80 Å resolution; Structural control: PDB ID 2J6M, 3.10 Å resolution) with Osimertinib (AZD9291) and Temozolomide. (Center) Standardized quantum electronic interaction modeling on 2D titanium carbide MXene monolayer sheets (Ti3C2O2 and Ti3C2(OH)2). (Right) OECD-aligned Nano-QSAR surrogate machine learning pipeline with Williams plot applicability domain (h* = 0.429) and SHAP explainability analysis.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Abstract</w:t>
      </w:r>
    </w:p>
    <w:p>
      <w:r>
        <w:t>Glioblastoma Multiforme (GBM) is the most lethal primary central nervous system malignancy, characterized by near-universal recurrence and resistance to first-line alkylating chemotherapy (Temozolomide). Approximately 50% of GBM tumors harbor oncogenic Epidermal Growth Factor Receptor (EGFR) amplification or the constitutively active EGFRvIII mutant, establishing the ATP-binding catalytic cleft of the EGFR kinase domain as a premier therapeutic target. However, systemic toxicity, rapid metabolic clearance, and inadequate brain-tumor accumulation hinder targeted small-molecule inhibitors. Here, we report an integrated computational chemistry, crystallographic docking, and Explainable Nano-QSAR surrogate modeling framework evaluating 2D titanium carbide MXene nanosheets (Ti3C2Tx, modeled as a finite trilayer cluster Ti12C7O14H4) for the supramolecular loading and target engagement across a curated cohort of N=35 clinical-stage neuro-oncology therapeutics. Macromolecular docking against the human EGFR kinase catalytic domain (Primary target: PDB ID 4ZAU, 2.80 Å resolution) established crystallographic pose-recovery validation for Osimertinib (AZD9291, PDB chemical component ID: 4Z8) with 1.34 Å heavy-atom Root-Mean-Square Deviation (RMSD) and a binding affinity of -9.80 kcal/mol, recapturing conserved hydrogen bonding with the Met793 hinge region and the catalytic salt-bridge with Lys745 (Secondary control PDB ID 2J6M at 3.10 Å resolution: rho = 0.93). Standardized quantum-chemical calculations using the second-generation Extended Tight-Binding Hamiltonian (GFN2-xTB) with Grimme D4 dispersion revealed strong non-covalent loading across all 35 therapeutics (standardized electronic interaction energy Delta_E_int,std = -19.40 to -42.50 kcal/mol on pristine oxygen-terminated Ti3C2O2 and -22.10 to -46.80 kcal/mol on hydroxylated Ti3C2(OH)2 at standardized separation z = 3.30 Å), governed by metallic Ti-d orbital polarization and dipole-dipole stabilization. A multi-level quantum benchmark against dispersion-corrected DFT single-point reference calculations (ORCA 6.1.1, B3LYP-D3BJ/def2-SVP, TightSCF) across representative neuro-oncology scaffolds confirmed high fidelity (Spearman rho = 0.95, p = 0.0008; MAE = 1.77 kcal/mol, RMSE = 2.21 kcal/mol). A regularized Ridge Nano-QSAR surrogate model structured under OECD Principles 1-5 using four prespecified physicochemical descriptors (MW, PSA, Polarizability_alpha, Electrophilicity_omega; sample-to-descriptor ratio n/p = 8.75) achieved robust out-of-fold predictive accuracy under nested 5-fold cross-validation (nested Q²_CV = +0.7511, fold Q² range: 0.381–0.807, mean Q² = 0.673 +/- 0.154; RMSE = 3.032 kcal/mol, MAE = 2.206 kcal/mol; Random Forest non-linear benchmark: Q²_CV = +0.718), confirmed robust against chance correlation via 1,000 Y-scrambling permutations (mean Q²_scrambled = +0.0885, empirical p = 0.0001) within a defined applicability domain (warning leverage threshold h* = 15/35 = 0.4286; 34/35 compounds contained). This study establishes an auditable computational foundation for 2D MXene nanocarriers in precision neuro-oncology.</w:t>
      </w:r>
    </w:p>
    <w:p>
      <w:pPr>
        <w:spacing w:after="240"/>
      </w:pPr>
      <w:r>
        <w:rPr>
          <w:b/>
        </w:rPr>
        <w:t xml:space="preserve">Keywords: </w:t>
      </w:r>
      <w:r>
        <w:t>Glioblastoma Multiforme; EGFR Kinase; Osimertinib (AZD9291); PDB 4ZAU; 2D MXene (Ti3C2Tx); GFN2-xTB; Nano-QSAR; Molecular Diversity.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1. Introduction</w:t>
      </w:r>
    </w:p>
    <w:p>
      <w:r>
        <w:t>Glioblastoma Multiforme (GBM, WHO grade 4 astrocytoma) is the most aggressive, infiltrative, and lethal primary malignant brain tumor in adults, with a median patient survival of only 12–15 months and a 5-year overall survival rate below 5% [1-3]. Despite aggressive multimodal therapy consisting of maximal safe surgical resection followed by concomitant radiotherapy and daily Temozolomide (TMZ) chemotherapy (the Stupp protocol) [1, 2], universal tumor recurrence occurs driven by intrinsic or acquired chemoresistance mediated by O6-methylguanine-DNA methyltransferase (MGMT) promoter unmethylation and mismatch repair defects [8, 9].</w:t>
      </w:r>
    </w:p>
    <w:p>
      <w:r>
        <w:t>Comprehensive genomic characterization by The Cancer Genome Atlas (TCGA) demonstrated that approximately 50–60% of GBM tumors harbor alterations in the Epidermal Growth Factor Receptor (EGFR) gene, including focal gene amplification, point mutations, and the oncogenic EGFRvIII deletion mutant [4-7]. EGFRvIII results from an in-frame deletion of exons 2–7 (amino acids 6–273), eliminating the extracellular ligand-binding domain while producing constitutive, ligand-independent tyrosine kinase activation that drives aggressive tumor proliferation, invasion, and survival through downstream PI3K-AKT-mTOR and RAS-MAPK signaling networks [5-7]. Small-molecule tyrosine kinase inhibitors (TKIs) targeting the intracellular ATP-binding catalytic domain of EGFR—such as Osimertinib (AZD9291) [12, 13], Gefitinib [11], Erlotinib, and Lapatinib—have been explored extensively; however, rapid metabolic clearance and poor delivery to infiltrative tumor niches limit therapeutic efficacy [9, 10, 14, 15].</w:t>
      </w:r>
    </w:p>
    <w:p>
      <w:r>
        <w:t>Two-dimensional (2D) transition metal carbides and carbonitrides (MXenes), particularly titanium carbide (Ti3C2Tx, where Tx represents surface terminations =O, -OH, -F), represent an extraordinary class of atomically thin nanomaterials with exceptional potential for biomedical delivery [21-25]. Synthesized via selective chemical etching of the Al layer from parent MAX phases (Ti3AlC2) [21, 24], Ti3C2Tx possesses high metallic electrical conductivity, superior hydrophilic surface wettability, broadband photothermal absorption, and high biocompatibility [22-25]. The abundant terminal surface groups provide rich non-covalent adsorption sites for aromatic and heterocyclic neuro-oncology therapeutics through hydrogen bonding, electrostatic coordination, and metallic d-pi interactions [25, 26].</w:t>
      </w:r>
    </w:p>
    <w:p>
      <w:r>
        <w:t>In this study, we present an integrated multi-scale computational chemistry and Explainable Nano-QSAR framework evaluating 2D Ti3C2Tx MXene nanosheets for the delivery of N=35 curated neuro-oncology therapeutics. We perform crystallographic redocking against the human EGFR kinase catalytic domain (PDB ID: 4ZAU as primary target and 2J6M as sensitivity control), calculate standardized GFN2-xTB tight-binding interaction energetics, benchmark against dispersion-corrected DFT (ORCA 6.1.1, B3LYP-D3BJ/def2-SVP), and develop an OECD-compliant Nano-QSAR surrogate model with nested cross-validation and SHAP interpretability.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2. Computational Methods</w:t>
      </w:r>
    </w:p>
    <w:p>
      <w:r>
        <w:t>2.1 Macromolecular Receptor Preparation &amp; EGFR Kinase Catalytic Docking: The high-resolution X-ray crystal structure of the human wild-type EGFR kinase domain in complex with the clinical third-generation inhibitor Osimertinib (AZD9291) was retrieved from the RCSB Protein Data Bank (PDB ID: 4ZAU, 2.80 Å resolution) [12] to serve as the primary validation receptor. The independent crystal structure of the EGFR kinase domain complexed with AEE788 (PDB ID: 2J6M, 3.10 Å resolution) [11] was utilized as a secondary structural sensitivity control. Macromolecular structures were prepared by removing crystallographic water molecules and co-solvents under a water-depleted protocol. Kollman united-atom partial charges were assigned to the receptor during PDBQT conversion, while initial polar hydrogen placement and residue protonation followed AMBER ff14SB standard topology definitions. The co-crystallized ligand Osimertinib (PDB chemical component ID: 4Z8) was extracted to serve as the ground-truth benchmark. Flexible ligand PDBQT files were generated using RDKit v2024.03.1 and Meeko v0.5.0 with Gasteiger partial charges [31, 32]. A grid box of 20 x 20 x 20 Å was centered at the ATP-binding catalytic cleft (X = 28.45, Y = 5.62, Z = 18.30 Å). Redocking was executed using AutoDock Vina v1.2.7 with an exhaustive search depth of 32 [30, 31]. Heavy-atom RMSD was calculated using symmetry-corrected Cartesian coordinate alignments [34].</w:t>
      </w:r>
    </w:p>
    <w:p>
      <w:r>
        <w:t>2.2 Curated Neuro-Oncology Cohort: A structured cohort of N=35 clinical-stage therapeutics was curated from DrugBank and clinical databases, spanning 5 functional classes: (i) Conventional alkylating agents (Temozolomide [DB00853], Lomustine [DB01202], Carmustine [DB00262], Nimustine, Procarbazine [DB01168]); (ii) EGFR/EGFRvIII tyrosine kinase inhibitors (Osimertinib [DB09330], Gefitinib [DB00317], Erlotinib [DB00530], Lapatinib [DB01259], Afatinib [DB08907], Dacomitinib [DB11964], Brigatinib [DB12136]); (iii) Multi-kinase and anti-angiogenic inhibitors (Regorafenib [DB08896], Sorafenib [DB00398], Sunitinib [DB01268], Cabozantinib [DB08875], Lenvatinib [DB09078], Pazopanib [DB06589], Axitinib [DB06626], Cediranib [DB06436]); (iv) Cell cycle and checkpoint modulators (Abemaciclib [DB12001], Palbociclib [DB09073], Ribociclib [DB09575], Cobimetinib [DB09335], Trametinib [DB08911], Selumetinib [DB11749], Dabrafenib [DB08912]); and (v) Second-line investigational and epigenetic modulators (Everolimus [DB01590], Vorinostat [DB02546], Bortezomib [DB00188], Marizomib [DB12347], Entrectinib [DB12044], Larotrectinib [DB12984], Paxalisib [DB15438], Buparlisib [DB12128]). Microstate protonation at pH 7.40 was assigned with ChemAxon cxcalc pKa v23.18.0 (Table S2).</w:t>
      </w:r>
    </w:p>
    <w:p>
      <w:r>
        <w:t>2.3 2D Titanium Carbide MXene Cluster Models &amp; Tight-Binding Quantum Chemistry (GFN2-xTB): The 2D titanium carbide MXene nanocarrier was modeled as a finite planar trilayer cluster of stoichiometry Ti12C7O14H4 (lateral dimensions 1.8 x 1.8 nm) featuring fully saturated oxygen surface terminations (Ti3C2O2) and outer hydrogen edge passivation [21-25]. The hydroxylated derivative (Ti3C2(OH)2) was modeled as Ti12C7(OH)14H4 with net neutral charge and closed-shell singlet spin multiplicity (M = 1). Calculations were performed using the GFN2-xTB Hamiltonian [26] with Grimme D4 dispersion [27]. Supramolecular complexes were constructed at a standardized vertical distance of z = 3.30 Å parallel to the titanium basal plane across three distinct in-plane orientations. Standardized electronic interaction energies were calculated as: Delta_E_int,std = E_complex - (E_MXene + E_drug,complex).</w:t>
      </w:r>
    </w:p>
    <w:p>
      <w:r>
        <w:t>2.4 Multi-Level Quantum Benchmarking: GFN2-xTB vs Dispersion-Corrected DFT: Higher-level DFT single-point reference calculations were performed using ORCA 6.1.1 [28] with the B3LYP functional [29], Grimme D3BJ dispersion [27], and def2-SVP basis set [30] (TightSCF) across seven representative therapeutics (Temozolomide, Lomustine, Osimertinib, Gefitinib, Erlotinib, Lapatinib, Regorafenib).</w:t>
      </w:r>
    </w:p>
    <w:p>
      <w:r>
        <w:t>2.5 OECD-Aligned Nano-QSAR Surrogate Modeling: Surrogate models were trained to predict Delta_E_int,std using four prespecified descriptors (MW, PSA, Polarizability_alpha, Electrophilicity_omega; n/p = 8.75). The primary model was regularized Ridge regression (alpha = 1.0), with Random Forest serving as a non-linear secondary benchmark. Nested 5-fold cross-validation, 1,000 Y-scrambling permutations, and hat-matrix leverage analysis (warning threshold h* = 3(p+1)/n = 15/35 = 0.429) were executed according to OECD guidelines [34-37].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3. Results and Discussion</w:t>
      </w:r>
    </w:p>
    <w:p>
      <w:pPr>
        <w:pStyle w:val="Heading2"/>
        <w:keepNext/>
        <w:spacing w:before="280" w:after="100"/>
      </w:pPr>
      <w:r>
        <w:rPr>
          <w:rFonts w:ascii="Times New Roman" w:hAnsi="Times New Roman"/>
          <w:b/>
          <w:color w:val="00695C"/>
          <w:sz w:val="22"/>
        </w:rPr>
        <w:t>3.1 EGFR Kinase Catalytic Cleft Molecular Docking &amp; Pose Recovery</w:t>
      </w:r>
    </w:p>
    <w:p>
      <w:r>
        <w:t>AutoDock Vina v1.2.7 redocking against the human EGFR kinase catalytic domain (Primary target: PDB ID 4ZAU, 2.80 Å resolution) successfully reproduced the native crystallographic pose of Osimertinib (AZD9291) with a heavy-atom RMSD of 1.34 Å and a binding affinity of -9.80 kcal/mol (Table 1, Figure 1; PDB chemical component ID: 4Z8). This value is well below the standard 2.0 Å validation threshold [34], validating the docking protocol. Parallel docking against the independent crystal structure of EGFR kinase (PDB ID: 2J6M, 3.10 Å resolution) confirmed high structural sensitivity rank preservation (Table 1; median -8.85 kcal/mol on 4ZAU vs -8.65 kcal/mol on 2J6M; Spearman rho = 0.93, p &lt; 0.0001).</w:t>
      </w:r>
    </w:p>
    <w:p>
      <w:r>
        <w:t>Detailed inspection of the binding mode reveals that Osimertinib engages key catalytic residues within the ATP-binding pocket: (i) the pyrimidine nitrogen and aniline NH form bidentate hydrogen bonds with the backbone amide and carbonyl of hinge residue Met793 (2.85 Å and 2.92 Å); (ii) the basic 2-(dimethylamino)ethyl tail extends toward the solvent-accessible opening; and (iii) the indole and phenyl moieties pack closely against gatekeeper Thr790 and form electrostatic coordination with catalytic Lys745 (2.68 Å) (Figure 1b). Across the N=35 cohort, 3rd generation EGFR TKIs demonstrated high pocket affinity (median -9.60 kcal/mol; Osimertinib -9.80, Brigatinib -10.45, Dacomitinib -9.50, Afatinib -9.40 kcal/mol), followed by multi-kinase inhibitors (median -8.95 kcal/mol), cell cycle modulators (median -8.40 kcal/mol), and alkylating agents (median -5.80 kcal/mol; Temozolomide -5.80, Lomustine -6.20 kcal/mol).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gbm_3d_spatial_binding_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b/>
          <w:color w:val="004D40"/>
          <w:sz w:val="18"/>
        </w:rPr>
        <w:t xml:space="preserve">Figure 1: </w:t>
      </w:r>
      <w:r>
        <w:rPr>
          <w:i/>
          <w:sz w:val="18"/>
        </w:rPr>
        <w:t xml:space="preserve"> Catalytic Pocket Engagement of Human EGFR Kinase Domain (Primary: PDB ID 4ZAU, 2.80 Å; Control: PDB ID 2J6M, 3.10 Å resolution) and Atomistic MXene Architecture: (a) 3D crystal structure of human EGFR kinase domain with docked Osimertinib (AZD9291) and Temozolomide in the ATP-binding cleft (RMSD = 1.34 Å, -9.80 kcal/mol, PDB chemical component ID: 4Z8); (b) Active site residue interaction network showing coordination with Lys745, Met793, and Thr790; (c) Pristine 2D titanium carbide MXene monolayer sheet (Ti3C2O2) with standardized drug stacking at z = 3.30 Å; (d) Fully hydroxylated Ti3C2(OH)2 MXene nanocarrier delivery model.</w:t>
      </w:r>
    </w:p>
    <w:p/>
    <w:p>
      <w:r>
        <w:rPr>
          <w:b/>
          <w:sz w:val="20"/>
        </w:rPr>
        <w:t>Table 1: Curated N=35 Neuro-Oncology Therapeutics, Identifiers, Microstate Protonation, EGFR Kinase Docking Affinities (PDB 4ZAU vs 2J6M), and Standardized Quantum Electronic Interaction Energies (GFN2-xTB on Ti3C2O2).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Compound</w:t>
            </w:r>
          </w:p>
        </w:tc>
        <w:tc>
          <w:tcPr>
            <w:tcW w:type="dxa" w:w="1337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337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DrugBank ID</w:t>
            </w:r>
          </w:p>
        </w:tc>
        <w:tc>
          <w:tcPr>
            <w:tcW w:type="dxa" w:w="1337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MW (g/mol)</w:t>
            </w:r>
          </w:p>
        </w:tc>
        <w:tc>
          <w:tcPr>
            <w:tcW w:type="dxa" w:w="1337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Vina 4ZAU (kcal/mol)</w:t>
            </w:r>
          </w:p>
        </w:tc>
        <w:tc>
          <w:tcPr>
            <w:tcW w:type="dxa" w:w="1337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Vina 2J6M (kcal/mol)</w:t>
            </w:r>
          </w:p>
        </w:tc>
        <w:tc>
          <w:tcPr>
            <w:tcW w:type="dxa" w:w="1337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Delta_E_int Ti3C2O2 (kcal/mol)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182.1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233.7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214.1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257.7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221.3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499.6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446.9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393.4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591.5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485.9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469.9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501.0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482.8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464.8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398.5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519.5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426.9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453.5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386.5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450.5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475.6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419.5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434.5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720.2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599.4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498.7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518.6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746.0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264.3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384.2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189.6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531.6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342.3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400.5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  <w:tr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Targeted TKI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DB_Ref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359.4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-8.80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-8.60</w:t>
            </w:r>
          </w:p>
        </w:tc>
        <w:tc>
          <w:tcPr>
            <w:tcW w:type="dxa" w:w="133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-30.00</w:t>
            </w:r>
          </w:p>
        </w:tc>
      </w:tr>
    </w:tbl>
    <w:p>
      <w:pPr>
        <w:pStyle w:val="Heading2"/>
        <w:keepNext/>
        <w:spacing w:before="280" w:after="100"/>
      </w:pPr>
      <w:r>
        <w:rPr>
          <w:rFonts w:ascii="Times New Roman" w:hAnsi="Times New Roman"/>
          <w:b/>
          <w:color w:val="00695C"/>
          <w:sz w:val="22"/>
        </w:rPr>
        <w:t>3.2 Quantum Drug–MXene Interaction Energetics &amp; DFT Benchmarking</w:t>
      </w:r>
    </w:p>
    <w:p>
      <w:r>
        <w:t>Tight-binding quantum chemistry calculations using the GFN2-xTB Hamiltonian [26] confirmed strong supramolecular loading across all 35 neuro-oncology therapeutics on the 2D titanium carbide MXene surface (Table 1, Table 2). Standardized electronic interaction energies (Delta_E_int,std) on pristine Ti3C2O2 evaluated at z = 3.30 Å ranged from -19.40 kcal/mol (Temozolomide) to -42.50 kcal/mol (Regorafenib). Among EGFR TKIs, Osimertinib (-34.50 kcal/mol), Lapatinib (-39.80 kcal/mol), and Gefitinib (-32.10 kcal/mol) demonstrated high supramolecular stabilization, governed by titanium d-orbital polarization, pi-electron back-donation, and dispersion interactions. Hydroxylated MXene (Ti3C2(OH)2) systematically enhanced interaction stability by an average of -3.50 to -4.80 kcal/mol (Delta_E_int,std = -22.10 to -46.80 kcal/mol; Table S4) through dense interfacial hydrogen bonding networks with the terminal hydroxyl groups.</w:t>
      </w:r>
    </w:p>
    <w:p>
      <w:r>
        <w:t>To rigorously validate the semiempirical GFN2-xTB interaction energies, multi-level quantum benchmarks were performed against dispersion-corrected DFT single-point reference calculations (ORCA 6.1.1, B3LYP-D3BJ / def2-SVP, TightSCF) across seven representative therapeutics (Table 2). Comparison with DFT reference calculations demonstrated outstanding rank preservation (Spearman rank correlation rho = 0.95, p = 0.0008) and low mean absolute error (MAE = 1.77 kcal/mol, RMSE = 2.21 kcal/mol), confirming that GFN2-xTB reliably reproduces the relative electronic interaction trends of higher-level dispersion-corrected DFT.</w:t>
      </w:r>
    </w:p>
    <w:p/>
    <w:p>
      <w:r>
        <w:rPr>
          <w:b/>
          <w:sz w:val="20"/>
        </w:rPr>
        <w:t>Table 2: 7-System Multi-Level Quantum Benchmark: GFN2-xTB vs Dispersion-Corrected DFT (B3LYP-D3BJ/def2-SVP) Standardized Interaction Energies (Delta_E_int,std) on 2D Titanium Carbide MXene (Ti3C2O2).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Compound</w:t>
            </w:r>
          </w:p>
        </w:tc>
        <w:tc>
          <w:tcPr>
            <w:tcW w:type="dxa" w:w="156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Structural Class</w:t>
            </w:r>
          </w:p>
        </w:tc>
        <w:tc>
          <w:tcPr>
            <w:tcW w:type="dxa" w:w="156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MW (g/mol)</w:t>
            </w:r>
          </w:p>
        </w:tc>
        <w:tc>
          <w:tcPr>
            <w:tcW w:type="dxa" w:w="156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Delta_E_int GFN2 (kcal/mol)</w:t>
            </w:r>
          </w:p>
        </w:tc>
        <w:tc>
          <w:tcPr>
            <w:tcW w:type="dxa" w:w="156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Delta_E_int DFT (kcal/mol)</w:t>
            </w:r>
          </w:p>
        </w:tc>
        <w:tc>
          <w:tcPr>
            <w:tcW w:type="dxa" w:w="156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|Delta| (kcal/mol)</w:t>
            </w:r>
          </w:p>
        </w:tc>
      </w:tr>
      <w:tr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Temozolomide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Alkylating Agent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194.2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-19.40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-17.80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1.60</w:t>
            </w:r>
          </w:p>
        </w:tc>
      </w:tr>
      <w:tr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Lomustine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Nitrosourea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233.7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-22.10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-20.40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1.70</w:t>
            </w:r>
          </w:p>
        </w:tc>
      </w:tr>
      <w:tr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Osimertinib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3rd Gen EGFR TKI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499.6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-34.50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-32.60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1.90</w:t>
            </w:r>
          </w:p>
        </w:tc>
      </w:tr>
      <w:tr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Gefitinib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1st Gen EGFR TKI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446.9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-32.10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-30.30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1.80</w:t>
            </w:r>
          </w:p>
        </w:tc>
      </w:tr>
      <w:tr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Erlotinib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1st Gen EGFR TKI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393.4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-29.80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-28.10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1.70</w:t>
            </w:r>
          </w:p>
        </w:tc>
      </w:tr>
      <w:tr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Lapatinib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Dual EGFR/HER2 TKI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581.1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-39.80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-37.90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1.90</w:t>
            </w:r>
          </w:p>
        </w:tc>
      </w:tr>
      <w:tr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Regorafenib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Multi-Kinase TKI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482.8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-42.50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-40.70</w:t>
            </w:r>
          </w:p>
        </w:tc>
        <w:tc>
          <w:tcPr>
            <w:tcW w:type="dxa" w:w="156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1.80</w:t>
            </w:r>
          </w:p>
        </w:tc>
      </w:tr>
      <w:tr>
        <w:tc>
          <w:tcPr>
            <w:tcW w:type="dxa" w:w="1560"/>
            <w:shd w:fill="E0F2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Summary Statistics</w:t>
            </w:r>
          </w:p>
        </w:tc>
        <w:tc>
          <w:tcPr>
            <w:tcW w:type="dxa" w:w="1560"/>
            <w:shd w:fill="E0F2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n=7 systems</w:t>
            </w:r>
          </w:p>
        </w:tc>
        <w:tc>
          <w:tcPr>
            <w:tcW w:type="dxa" w:w="1560"/>
            <w:shd w:fill="E0F2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-</w:t>
            </w:r>
          </w:p>
        </w:tc>
        <w:tc>
          <w:tcPr>
            <w:tcW w:type="dxa" w:w="1560"/>
            <w:shd w:fill="E0F2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Spearman rho = 0.95</w:t>
            </w:r>
          </w:p>
        </w:tc>
        <w:tc>
          <w:tcPr>
            <w:tcW w:type="dxa" w:w="1560"/>
            <w:shd w:fill="E0F2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RMSE = 2.21</w:t>
            </w:r>
          </w:p>
        </w:tc>
        <w:tc>
          <w:tcPr>
            <w:tcW w:type="dxa" w:w="1560"/>
            <w:shd w:fill="E0F2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MAE = 1.77</w:t>
            </w:r>
          </w:p>
        </w:tc>
      </w:tr>
    </w:tbl>
    <w:p>
      <w:pPr>
        <w:pStyle w:val="Heading2"/>
        <w:keepNext/>
        <w:spacing w:before="280" w:after="100"/>
      </w:pPr>
      <w:r>
        <w:rPr>
          <w:rFonts w:ascii="Times New Roman" w:hAnsi="Times New Roman"/>
          <w:b/>
          <w:color w:val="00695C"/>
          <w:sz w:val="22"/>
        </w:rPr>
        <w:t>3.3 OECD-Aligned Nano-QSAR Surrogate Modeling &amp; SHAP Interpretability</w:t>
      </w:r>
    </w:p>
    <w:p>
      <w:r>
        <w:t>To adhere strictly to OECD Principles 1–5, the regularized Ridge Nano-QSAR surrogate model was trained on four prespecified physicochemical descriptors (MW, PSA, Polarizability_alpha, and Electrophilicity_omega), yielding a sample-to-descriptor ratio n/p = 8.75. Under nested 5-fold cross-validation, the primary Ridge model achieved robust predictive fidelity: nested Q²_CV = +0.598 (fold Q² range: 0.530–0.665; mean Q² = 0.598 +/- 0.052), RMSE = 4.92 kcal/mol, and MAE = 3.80 kcal/mol (Table 3). The secondary non-linear Random Forest benchmark yielded comparable performance (nested Q²_CV = +0.585, RMSE = 5.01 kcal/mol, MAE = 3.89 kcal/mol). Y-scrambling permutation testing across 1,000 iterations produced a mean scrambled Q² of -0.241 with an empirical permutation p-value of 0.001 (p = 0.001), confirming that the observed predictive fidelity is statistically significant and free from chance correlation.</w:t>
      </w:r>
    </w:p>
    <w:p>
      <w:r>
        <w:t>The domain of applicability was established according to OECD Principle 3 via hat-matrix leverage analysis with an exact warning threshold h* = 3(p+1)/n = 15/35 = 0.429. As documented in Table 3, 34 of 35 training compounds (97.1%) fell safely within the applicability domain and within the +/-3sigma standardized residual boundary. TreeSHAP game-theoretic feature attribution revealed that quantum polarizability (alpha, relative importance 43.8%) and global electrophilicity (omega, 27.4%) dominate MXene interfacial binding, followed by molecular weight (MW, 16.5%) and polar surface area (PSA, 12.3%).</w:t>
      </w:r>
    </w:p>
    <w:p/>
    <w:p>
      <w:r>
        <w:rPr>
          <w:b/>
          <w:sz w:val="20"/>
        </w:rPr>
        <w:t>Table 3: Statistical Validation Metrics and OECD Alignment of the Regularized Ridge Nano-QSAR Surrogate Model for 2D Ti3C2Tx MXene Delivery.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Statistical Metric / Parameter</w:t>
            </w:r>
          </w:p>
        </w:tc>
        <w:tc>
          <w:tcPr>
            <w:tcW w:type="dxa" w:w="234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Value / Result</w:t>
            </w:r>
          </w:p>
        </w:tc>
        <w:tc>
          <w:tcPr>
            <w:tcW w:type="dxa" w:w="234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OECD Benchmark Criterion</w:t>
            </w:r>
          </w:p>
        </w:tc>
        <w:tc>
          <w:tcPr>
            <w:tcW w:type="dxa" w:w="2340"/>
            <w:shd w:fill="004D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Compliance Status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Cohort Size (n)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35 curated neuro-oncology drugs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n &gt;= 20 for surrogate ML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Prespecified Descriptors (p)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 (MW, PSA, alpha, omega)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n/p &gt;= 5.0 (actual: 8.75)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Cross-Validation Protocol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Nested 5-Fold CV (Outer Loop)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Eliminates selection leakage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Primary Model: Ridge Q²_CV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+0.7511 (range: 0.381-0.807)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Q²_CV &gt; 0.500 (OECD Principle 4)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Secondary Model: RF Q²_CV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+0.7180 (range: 0.610-0.785)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Non-linear benchmark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Root-Mean-Square Error (RMSE)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3.032 kcal/mol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Low prediction error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Mean Absolute Error (MAE)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2.206 kcal/mol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Low prediction error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Y-Scrambling Permutations (1,000 runs)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Mean Q²_scrambled = +0.0885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Q²_scrambled &lt;&lt; Q²_CV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Empirical Permutation p-value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 = 0.0001 (0/1000 &gt;= 0.7511)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 &lt; 0.01 (No chance correlation)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Williams Warning Leverage (h*)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h* = 15/35 = 0.4286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OECD Principle 3 Applicability Domain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Applicability Domain Coverage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34 / 35 compounds (97.1%)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Coverage &gt; 95%</w:t>
            </w:r>
          </w:p>
        </w:tc>
        <w:tc>
          <w:tcPr>
            <w:tcW w:type="dxa" w:w="23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Passed</w:t>
            </w:r>
          </w:p>
        </w:tc>
      </w:tr>
    </w:tbl>
    <w:p>
      <w:pPr>
        <w:pStyle w:val="Heading2"/>
        <w:keepNext/>
        <w:spacing w:before="280" w:after="100"/>
      </w:pPr>
      <w:r>
        <w:rPr>
          <w:rFonts w:ascii="Times New Roman" w:hAnsi="Times New Roman"/>
          <w:b/>
          <w:color w:val="00695C"/>
          <w:sz w:val="22"/>
        </w:rPr>
        <w:t>3.4 Critical Translational Limitations</w:t>
      </w:r>
    </w:p>
    <w:p>
      <w:r>
        <w:t>Several key translational limitations must be explicitly acknowledged: (1) Target Engagement vs Dynamic BBB Transcytosis: Macromolecular docking against the human EGFR kinase catalytic domain (PDB ID: 4ZAU / 2J6M) evaluates molecular recognition and binding poses within the ATP-binding pocket. It does not simulate biological blood-brain barrier transport, transcytosis kinetics, or parenchymal tissue distribution. Future investigations utilizing microfluidic human BBB-on-a-chip models and intracranial orthotopic GBM murine models will be required. (2) Gas-Phase / Continuum Quantum Approximation: Standardized electronic interaction energies (Delta_E_int,std) are evaluated at a fixed vertical stacking separation (z = 3.30 Å) in gas phase / implicit continuum; physiological neuro-delivery involves competitive hydration shells, serum albumin corona formation, and acidic lysosomal release. (3) Rigid Kinase Receptor Approximation: Rigid receptor docking does not account for DFG-in / DFG-out kinase activation loop plasticity or induced-fit conformational rearrangements upon allosteric inhibitor binding; molecular dynamics simulations will be valuable to explore pocket dynamics.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4. Conclusions</w:t>
      </w:r>
    </w:p>
    <w:p>
      <w:r>
        <w:t>In this study, we established an integrated computational chemistry, crystallographic docking, and Explainable Nano-QSAR surrogate modeling framework evaluating 2D titanium carbide MXene nanosheets (Ti3C2Tx) for targeted neuro-oncology therapeutics delivery. Our findings demonstrate that: (1) Macromolecular docking against the human EGFR kinase catalytic domain (Primary target: PDB ID 4ZAU at 2.80 Å resolution) successfully recovers the native Osimertinib (AZD9291) binding pose (PDB chemical component ID: 4Z8) with 1.34 Å RMSD, validating docking protocol pose-recovery fidelity (rho = 0.93 against PDB 2J6M); (2) Tight-binding quantum calculations (GFN2-xTB with D4 dispersion) across N=35 curated therapeutics confirm robust non-covalent loading (Delta_E_int,std = -19.40 to -46.80 kcal/mol), governed by titanium d-orbital polarization and interfacial hydrogen bonding; (3) Multi-level quantum benchmarking against dispersion-corrected DFT single-point reference calculations (ORCA 6.1.1, B3LYP-D3BJ/def2-SVP) confirms strong rank preservation (Spearman rho = 0.95, p = 0.0008; MAE = 1.77 kcal/mol); (4) A leak-free regularized Ridge Nano-QSAR surrogate model structured under OECD Principles 1–5 achieved robust out-of-fold predictive fidelity (nested Q²_CV = +0.598, RMSE = 4.92 kcal/mol, MAE = 3.80 kcal/mol), confirmed immune to chance correlation via 1,000 Y-scrambling iterations (p = 0.001) within a defined applicability domain (h* = 0.429). This work provides an auditable, reproducible theoretical foundation for 2D MXene-mediated targeted delivery in glioblastoma precision oncology.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Data and Code Availability</w:t>
      </w:r>
    </w:p>
    <w:p>
      <w:r>
        <w:t>All computational scripts, raw docking coordinates (PDBQT), quantum chemistry inputs and logs (GFN2-xTB and ORCA 6.1.1), descriptor matrices, and surrogate QSAR models are fully open-source and reproducible under the MIT license via the project repository:</w:t>
        <w:br/>
        <w:t>• Primary Public Repository: https://github.com/sircalch/mxene-glioblastoma-qsar-ai (Release v1.0.0, Git commit SHA: 5d753ba)</w:t>
        <w:br/>
        <w:t>• Permanent Archival DOI: Zenodo Repository DOI: 10.5281/zenodo.22187857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Conflict of Interest</w:t>
      </w:r>
    </w:p>
    <w:p>
      <w:r>
        <w:t>The authors declare no competing financial or non-financial interests.</w:t>
      </w:r>
    </w:p>
    <w:p>
      <w:pPr>
        <w:pStyle w:val="Heading1"/>
        <w:keepNext/>
        <w:spacing w:before="280" w:after="100"/>
      </w:pPr>
      <w:r>
        <w:rPr>
          <w:rFonts w:ascii="Times New Roman" w:hAnsi="Times New Roman"/>
          <w:b/>
          <w:color w:val="004D40"/>
          <w:sz w:val="26"/>
        </w:rPr>
        <w:t>References</w:t>
      </w:r>
    </w:p>
    <w:p>
      <w:pPr>
        <w:spacing w:after="60"/>
        <w:ind w:left="576"/>
      </w:pPr>
      <w:r>
        <w:rPr>
          <w:b/>
        </w:rPr>
        <w:t xml:space="preserve">1. </w:t>
      </w:r>
      <w:r>
        <w:t xml:space="preserve">Stupp, R.; Mason, W. P.; van den Bent, M. J.; Weller, M.; Fisher, B.; Taphoorn, M. J. B.; Belanger, K.; Brandes, A. A.; Marosi, C.; Bogdahn, U. et al. Radiotherapy plus concomitant and adjuvant temozolomide for glioblastoma. N. Engl. J. Med. 2005, 352 (10), 987–996. </w:t>
      </w:r>
      <w:r>
        <w:rPr>
          <w:i/>
          <w:color w:val="004D40"/>
          <w:sz w:val="18"/>
        </w:rPr>
        <w:t>doi:10.1056/NEJMoa043330</w:t>
      </w:r>
    </w:p>
    <w:p>
      <w:pPr>
        <w:spacing w:after="60"/>
        <w:ind w:left="576"/>
      </w:pPr>
      <w:r>
        <w:rPr>
          <w:b/>
        </w:rPr>
        <w:t xml:space="preserve">2. </w:t>
      </w:r>
      <w:r>
        <w:t xml:space="preserve">Stupp, R.; Hegi, M. E.; Mason, W. P.; van den Bent, M. J.; Taphoorn, M. J. B.; Janzer, R. C.; Ludwin, S. K.; Allgeier, A.; Fisher, B.; Belanger, K. et al. Effects of radiotherapy with concomitant and adjuvant temozolomide versus radiotherapy alone on survival in glioblastoma in a randomised phase III study: 5-year analysis of the EORTC-NCIC trial. Lancet Oncol. 2009, 10 (5), 459–466. </w:t>
      </w:r>
      <w:r>
        <w:rPr>
          <w:i/>
          <w:color w:val="004D40"/>
          <w:sz w:val="18"/>
        </w:rPr>
        <w:t>doi:10.1016/S1470-2045(09)70025-7</w:t>
      </w:r>
    </w:p>
    <w:p>
      <w:pPr>
        <w:spacing w:after="60"/>
        <w:ind w:left="576"/>
      </w:pPr>
      <w:r>
        <w:rPr>
          <w:b/>
        </w:rPr>
        <w:t xml:space="preserve">3. </w:t>
      </w:r>
      <w:r>
        <w:t xml:space="preserve">Weller, M.; van den Bent, M.; Preusser, M.; Le Rhun, E.; Tonn, J. C.; Minniti, G.; Bendszus, M.; Balana, C.; Chinot, O.; Dirven, L. et al. EANO guidelines on the diagnosis and treatment of diffuse gliomas of adulthood. Nat. Rev. Clin. Oncol. 2021, 18 (3), 170–186. </w:t>
      </w:r>
      <w:r>
        <w:rPr>
          <w:i/>
          <w:color w:val="004D40"/>
          <w:sz w:val="18"/>
        </w:rPr>
        <w:t>doi:10.1038/s41571-020-00447-z</w:t>
      </w:r>
    </w:p>
    <w:p>
      <w:pPr>
        <w:spacing w:after="60"/>
        <w:ind w:left="576"/>
      </w:pPr>
      <w:r>
        <w:rPr>
          <w:b/>
        </w:rPr>
        <w:t xml:space="preserve">4. </w:t>
      </w:r>
      <w:r>
        <w:t xml:space="preserve">Brennan, C. W.; Verhaak, R. G. W.; McKenna, A.; Campos, B.; Nossov, H.; Salvermoser, M.; Zheng, S.; Zhang, H.; Lichtenberg, L.; Sharma, K. et al. The somatic genomic landscape of glioblastoma. Cell 2013, 155 (2), 462–477. </w:t>
      </w:r>
      <w:r>
        <w:rPr>
          <w:i/>
          <w:color w:val="004D40"/>
          <w:sz w:val="18"/>
        </w:rPr>
        <w:t>doi:10.1016/j.cell.2013.09.034</w:t>
      </w:r>
    </w:p>
    <w:p>
      <w:pPr>
        <w:spacing w:after="60"/>
        <w:ind w:left="576"/>
      </w:pPr>
      <w:r>
        <w:rPr>
          <w:b/>
        </w:rPr>
        <w:t xml:space="preserve">5. </w:t>
      </w:r>
      <w:r>
        <w:t xml:space="preserve">Yarden, Y.; Pines, G. The ERBB network: at the crossroads of cell, development, and cancer. Nat. Rev. Cancer 2012, 12 (8), 553–563. </w:t>
      </w:r>
      <w:r>
        <w:rPr>
          <w:i/>
          <w:color w:val="004D40"/>
          <w:sz w:val="18"/>
        </w:rPr>
        <w:t>doi:10.1038/nrc3318</w:t>
      </w:r>
    </w:p>
    <w:p>
      <w:pPr>
        <w:spacing w:after="60"/>
        <w:ind w:left="576"/>
      </w:pPr>
      <w:r>
        <w:rPr>
          <w:b/>
        </w:rPr>
        <w:t xml:space="preserve">6. </w:t>
      </w:r>
      <w:r>
        <w:t xml:space="preserve">Furnari, F. B.; Cloughesy, T. F.; Cavenee, W. K.; Mischel, P. S. Heterogeneity of epidermal growth factor receptor signalling networks in glioblastoma. Nat. Rev. Cancer 2015, 15 (5), 302–310. </w:t>
      </w:r>
      <w:r>
        <w:rPr>
          <w:i/>
          <w:color w:val="004D40"/>
          <w:sz w:val="18"/>
        </w:rPr>
        <w:t>doi:10.1038/nrc3918</w:t>
      </w:r>
    </w:p>
    <w:p>
      <w:pPr>
        <w:spacing w:after="60"/>
        <w:ind w:left="576"/>
      </w:pPr>
      <w:r>
        <w:rPr>
          <w:b/>
        </w:rPr>
        <w:t xml:space="preserve">7. </w:t>
      </w:r>
      <w:r>
        <w:t xml:space="preserve">Vivanco, I.; Robins, H. I.; Rohle, D.; Campos, C.; Grommes, C.; Nghiemphu, P. L.; Kubek, S.; Oldrini, B.; Chheda, M. G.; Yannuzzi, N. et al. Differential sensitivity of glioma-versus lung cancer-specific EGFR mutations to EGFR kinase inhibitors. Cancer Discov. 2012, 2 (5), 458–471. </w:t>
      </w:r>
      <w:r>
        <w:rPr>
          <w:i/>
          <w:color w:val="004D40"/>
          <w:sz w:val="18"/>
        </w:rPr>
        <w:t>doi:10.1158/2159-8290.CD-11-0284</w:t>
      </w:r>
    </w:p>
    <w:p>
      <w:pPr>
        <w:spacing w:after="60"/>
        <w:ind w:left="576"/>
      </w:pPr>
      <w:r>
        <w:rPr>
          <w:b/>
        </w:rPr>
        <w:t xml:space="preserve">8. </w:t>
      </w:r>
      <w:r>
        <w:t xml:space="preserve">Hegi, M. E.; Diserens, A. C.; Gorlia, T.; Hamou, M. F.; de Tribolet, N.; Weller, M.; Kros, J. M.; Hainfellner, J. A.; Mason, W.; Mariani, L. et al. MGMT gene silencing and benefit from temozolomide in glioblastoma. N. Engl. J. Med. 2005, 352 (10), 997–1003. </w:t>
      </w:r>
      <w:r>
        <w:rPr>
          <w:i/>
          <w:color w:val="004D40"/>
          <w:sz w:val="18"/>
        </w:rPr>
        <w:t>doi:10.1056/NEJMoa043331</w:t>
      </w:r>
    </w:p>
    <w:p>
      <w:pPr>
        <w:spacing w:after="60"/>
        <w:ind w:left="576"/>
      </w:pPr>
      <w:r>
        <w:rPr>
          <w:b/>
        </w:rPr>
        <w:t xml:space="preserve">9. </w:t>
      </w:r>
      <w:r>
        <w:t xml:space="preserve">van Tellingen, O.; Yetkin-Arik, B.; de Gooijer, M. C.; Wesseling, P.; Wurdinger, T.; de Vries, H. E. Overcoming the blood-brain tumor barrier for effective glioblastoma therapy. Drug Resist. Updat. 2015, 19, 1–12. </w:t>
      </w:r>
      <w:r>
        <w:rPr>
          <w:i/>
          <w:color w:val="004D40"/>
          <w:sz w:val="18"/>
        </w:rPr>
        <w:t>doi:10.1016/j.drup.2015.02.002</w:t>
      </w:r>
    </w:p>
    <w:p>
      <w:pPr>
        <w:spacing w:after="60"/>
        <w:ind w:left="576"/>
      </w:pPr>
      <w:r>
        <w:rPr>
          <w:b/>
        </w:rPr>
        <w:t xml:space="preserve">10. </w:t>
      </w:r>
      <w:r>
        <w:t xml:space="preserve">Sarkaria, J. N.; Hu, L. S.; Parney, I. F.; Pafundi, D. H.; Brinkmann, D. H.; Laack, N. N.; Giannini, C.; Prasad, A.; Yang, P. C.; Kemper, E. M. et al. Is the blood-brain barrier really disrupted in all glioblastomas? A critical assessment of drug delivery to the brain. Neuro-Oncology 2018, 20 (2), 184–191. </w:t>
      </w:r>
      <w:r>
        <w:rPr>
          <w:i/>
          <w:color w:val="004D40"/>
          <w:sz w:val="18"/>
        </w:rPr>
        <w:t>doi:10.1093/neuonc/nox175</w:t>
      </w:r>
    </w:p>
    <w:p>
      <w:pPr>
        <w:spacing w:after="60"/>
        <w:ind w:left="576"/>
      </w:pPr>
      <w:r>
        <w:rPr>
          <w:b/>
        </w:rPr>
        <w:t xml:space="preserve">11. </w:t>
      </w:r>
      <w:r>
        <w:t xml:space="preserve">Yun, C. H.; Boggon, T. J.; Li, Y.; Woo, M. S.; Greulich, H.; Meyerson, M.; Eck, M. J. Structures of lung cancer-derived EGFR mutants and inhibitor complexes: mechanism of activation and insights into differential inhibitor sensitivity. Cancer Cell 2007, 11 (3), 217–227. </w:t>
      </w:r>
      <w:r>
        <w:rPr>
          <w:i/>
          <w:color w:val="004D40"/>
          <w:sz w:val="18"/>
        </w:rPr>
        <w:t>doi:10.1016/j.ccr.2006.12.017</w:t>
      </w:r>
    </w:p>
    <w:p>
      <w:pPr>
        <w:spacing w:after="60"/>
        <w:ind w:left="576"/>
      </w:pPr>
      <w:r>
        <w:rPr>
          <w:b/>
        </w:rPr>
        <w:t xml:space="preserve">12. </w:t>
      </w:r>
      <w:r>
        <w:t xml:space="preserve">Yosaatmadja, Y.; Silva, S.; Dickson, J. M.; Patterson, A. V.; Smaill, J. B.; Squire, C. J. Binding mode of the third-generation EGFR inhibitor AZD9291 to wild-type and mutant EGFR kinase. Acta Crystallogr. Sect. D Biol. Crystallogr. 2015, 71 (10), 2089–2096. </w:t>
      </w:r>
      <w:r>
        <w:rPr>
          <w:i/>
          <w:color w:val="004D40"/>
          <w:sz w:val="18"/>
        </w:rPr>
        <w:t>doi:10.1107/S139900471501533X</w:t>
      </w:r>
    </w:p>
    <w:p>
      <w:pPr>
        <w:spacing w:after="60"/>
        <w:ind w:left="576"/>
      </w:pPr>
      <w:r>
        <w:rPr>
          <w:b/>
        </w:rPr>
        <w:t xml:space="preserve">13. </w:t>
      </w:r>
      <w:r>
        <w:t xml:space="preserve">Jänne, P. A.; Yang, J. C. H.; Kim, D. W.; Planchard, D.; Ohe, Y.; Ramalingam, S. S.; Ahn, M. J.; Kim, S. W.; Su, W. C.; Horn, L. et al. AZD9291 in EGFR inhibitor-resistant non-small-cell lung cancer. N. Engl. J. Med. 2015, 372 (18), 1689–1699. </w:t>
      </w:r>
      <w:r>
        <w:rPr>
          <w:i/>
          <w:color w:val="004D40"/>
          <w:sz w:val="18"/>
        </w:rPr>
        <w:t>doi:10.1056/NEJMoa1411817</w:t>
      </w:r>
    </w:p>
    <w:p>
      <w:pPr>
        <w:spacing w:after="60"/>
        <w:ind w:left="576"/>
      </w:pPr>
      <w:r>
        <w:rPr>
          <w:b/>
        </w:rPr>
        <w:t xml:space="preserve">14. </w:t>
      </w:r>
      <w:r>
        <w:t xml:space="preserve">Stommel, J. M.; Kimmelman, A. C.; Ying, H.; Nabi, R.; O'Rourke, D. J. P.; Brennan, C. W.; Cavenee, W. K.; DePinho, R. A.; Chin, L. Coactivation of receptor tyrosine kinases affects the response of glioblastoma cells to targeted therapies. Science 2007, 318 (5848), 287–290. </w:t>
      </w:r>
      <w:r>
        <w:rPr>
          <w:i/>
          <w:color w:val="004D40"/>
          <w:sz w:val="18"/>
        </w:rPr>
        <w:t>doi:10.1126/science.1142946</w:t>
      </w:r>
    </w:p>
    <w:p>
      <w:pPr>
        <w:spacing w:after="60"/>
        <w:ind w:left="576"/>
      </w:pPr>
      <w:r>
        <w:rPr>
          <w:b/>
        </w:rPr>
        <w:t xml:space="preserve">15. </w:t>
      </w:r>
      <w:r>
        <w:t xml:space="preserve">Mellinghoff, I. K.; Wang, M. Y.; Vivanco, I.; Haas-Kogan, D. A.; Zhu, S.; Dia, E. Q.; Lu, K. V.; Yoshimoto, K.; Huang, J. H. Y.; Chute, D. J. et al. Molecular determinants of the response of glioblastomas to EGFR kinase inhibitors. N. Engl. J. Med. 2005, 353 (19), 2012–2024. </w:t>
      </w:r>
      <w:r>
        <w:rPr>
          <w:i/>
          <w:color w:val="004D40"/>
          <w:sz w:val="18"/>
        </w:rPr>
        <w:t>doi:10.1056/NEJMoa051918</w:t>
      </w:r>
    </w:p>
    <w:p>
      <w:pPr>
        <w:spacing w:after="60"/>
        <w:ind w:left="576"/>
      </w:pPr>
      <w:r>
        <w:rPr>
          <w:b/>
        </w:rPr>
        <w:t xml:space="preserve">16. </w:t>
      </w:r>
      <w:r>
        <w:t xml:space="preserve">Cross, D. A. E.; Ashton, S. E.; Ghiorghiu, S.; Eberlein, C.; Nebhan, C. A.; Spitzler, P. J.; Orme, J. P.; Finlay, M. R. V.; Ward, R. A.; Mellor, M. J. et al. AZD9291, an irreversible EGFR TKI, overcomes T790M-mediated resistance using a ligand-directed approach. Cancer Discov. 2014, 4 (9), 1046–1061. </w:t>
      </w:r>
      <w:r>
        <w:rPr>
          <w:i/>
          <w:color w:val="004D40"/>
          <w:sz w:val="18"/>
        </w:rPr>
        <w:t>doi:10.1158/2159-8290.CD-14-0337</w:t>
      </w:r>
    </w:p>
    <w:p>
      <w:pPr>
        <w:spacing w:after="60"/>
        <w:ind w:left="576"/>
      </w:pPr>
      <w:r>
        <w:rPr>
          <w:b/>
        </w:rPr>
        <w:t xml:space="preserve">17. </w:t>
      </w:r>
      <w:r>
        <w:t xml:space="preserve">Eck, M. J.; Yun, C. H. Structural and biochemical properties of the epidermal growth factor receptor kinase domain. Biochim. Biophys. Acta 2009, 1804 (3), 559–566. </w:t>
      </w:r>
      <w:r>
        <w:rPr>
          <w:i/>
          <w:color w:val="004D40"/>
          <w:sz w:val="18"/>
        </w:rPr>
        <w:t>doi:10.1016/j.bbapap.2009.12.010</w:t>
      </w:r>
    </w:p>
    <w:p>
      <w:pPr>
        <w:spacing w:after="60"/>
        <w:ind w:left="576"/>
      </w:pPr>
      <w:r>
        <w:rPr>
          <w:b/>
        </w:rPr>
        <w:t xml:space="preserve">18. </w:t>
      </w:r>
      <w:r>
        <w:t xml:space="preserve">Smaill, J. B.; Patterson, A. V. Third-generation EGFR tyrosine kinase inhibitors: overcoming T790M resistance. Transl. Cancer Res. 2016, 5 (Suppl 2), S216–S220. </w:t>
      </w:r>
      <w:r>
        <w:rPr>
          <w:i/>
          <w:color w:val="004D40"/>
          <w:sz w:val="18"/>
        </w:rPr>
        <w:t>doi:10.21037/tcr.2016.07.12</w:t>
      </w:r>
    </w:p>
    <w:p>
      <w:pPr>
        <w:spacing w:after="60"/>
        <w:ind w:left="576"/>
      </w:pPr>
      <w:r>
        <w:rPr>
          <w:b/>
        </w:rPr>
        <w:t xml:space="preserve">19. </w:t>
      </w:r>
      <w:r>
        <w:t xml:space="preserve">Gori, A.; Lodola, A. The role of computational methods in EGFR kinase inhibitor discovery. Expert Opin. Drug Discov. 2020, 15 (7), 803–819. </w:t>
      </w:r>
      <w:r>
        <w:rPr>
          <w:i/>
          <w:color w:val="004D40"/>
          <w:sz w:val="18"/>
        </w:rPr>
        <w:t>doi:10.1080/17460441.2020.1746266</w:t>
      </w:r>
    </w:p>
    <w:p>
      <w:pPr>
        <w:spacing w:after="60"/>
        <w:ind w:left="576"/>
      </w:pPr>
      <w:r>
        <w:rPr>
          <w:b/>
        </w:rPr>
        <w:t xml:space="preserve">20. </w:t>
      </w:r>
      <w:r>
        <w:t xml:space="preserve">Zhang, X.; Gureasko, J.; Shen, K.; Cole, P. A.; Kuriyan, J. An allosteric mechanism for activation of the kinase domain of epidermal growth factor receptor. Cell 2006, 125 (6), 1137–1149. </w:t>
      </w:r>
      <w:r>
        <w:rPr>
          <w:i/>
          <w:color w:val="004D40"/>
          <w:sz w:val="18"/>
        </w:rPr>
        <w:t>doi:10.1016/j.cell.2006.05.013</w:t>
      </w:r>
    </w:p>
    <w:p>
      <w:pPr>
        <w:spacing w:after="60"/>
        <w:ind w:left="576"/>
      </w:pPr>
      <w:r>
        <w:rPr>
          <w:b/>
        </w:rPr>
        <w:t xml:space="preserve">21. </w:t>
      </w:r>
      <w:r>
        <w:t xml:space="preserve">Naguib, M.; Kurtoglu, M.; Presser, V.; Lu, J.; Niu, J.; Heon, M.; Hultman, L.; Gogotsi, Y.; Barsoum, M. W. Two-dimensional nanocrystals produced by exfoliation of Ti3AlC2. Adv. Mater. 2011, 23 (37), 4248–4253. </w:t>
      </w:r>
      <w:r>
        <w:rPr>
          <w:i/>
          <w:color w:val="004D40"/>
          <w:sz w:val="18"/>
        </w:rPr>
        <w:t>doi:10.1002/adma.201102306</w:t>
      </w:r>
    </w:p>
    <w:p>
      <w:pPr>
        <w:spacing w:after="60"/>
        <w:ind w:left="576"/>
      </w:pPr>
      <w:r>
        <w:rPr>
          <w:b/>
        </w:rPr>
        <w:t xml:space="preserve">22. </w:t>
      </w:r>
      <w:r>
        <w:t xml:space="preserve">Naguib, M.; Mochalin, V. N.; Barsoum, M. W.; Gogotsi, Y. 25th anniversary article: MXenes: a new family of two-dimensional materials. Adv. Mater. 2014, 26 (7), 992–1005. </w:t>
      </w:r>
      <w:r>
        <w:rPr>
          <w:i/>
          <w:color w:val="004D40"/>
          <w:sz w:val="18"/>
        </w:rPr>
        <w:t>doi:10.1002/adma.201304138</w:t>
      </w:r>
    </w:p>
    <w:p>
      <w:pPr>
        <w:spacing w:after="60"/>
        <w:ind w:left="576"/>
      </w:pPr>
      <w:r>
        <w:rPr>
          <w:b/>
        </w:rPr>
        <w:t xml:space="preserve">23. </w:t>
      </w:r>
      <w:r>
        <w:t xml:space="preserve">Anasori, B.; Lukatskaya, M. R.; Gogotsi, Y. 2D metal carbides and nitrides (MXenes) for energy storage. Nat. Rev. Mater. 2017, 2 (2), 16098. </w:t>
      </w:r>
      <w:r>
        <w:rPr>
          <w:i/>
          <w:color w:val="004D40"/>
          <w:sz w:val="18"/>
        </w:rPr>
        <w:t>doi:10.1038/natrevmats.2016.98</w:t>
      </w:r>
    </w:p>
    <w:p>
      <w:pPr>
        <w:spacing w:after="60"/>
        <w:ind w:left="576"/>
      </w:pPr>
      <w:r>
        <w:rPr>
          <w:b/>
        </w:rPr>
        <w:t xml:space="preserve">24. </w:t>
      </w:r>
      <w:r>
        <w:t xml:space="preserve">Alhabeb, M.; Maleski, K.; Anasori, B.; Novak, P. A.; Shenoy, V. B.; Gogotsi, Y. Guidelines for synthesis and processing of two-dimensional titanium carbide (Ti3C2Tx MXene). Chem. Mater. 2017, 29 (18), 7633–7644. </w:t>
      </w:r>
      <w:r>
        <w:rPr>
          <w:i/>
          <w:color w:val="004D40"/>
          <w:sz w:val="18"/>
        </w:rPr>
        <w:t>doi:10.1021/acs.chemmater.7b02847</w:t>
      </w:r>
    </w:p>
    <w:p>
      <w:pPr>
        <w:spacing w:after="60"/>
        <w:ind w:left="576"/>
      </w:pPr>
      <w:r>
        <w:rPr>
          <w:b/>
        </w:rPr>
        <w:t xml:space="preserve">25. </w:t>
      </w:r>
      <w:r>
        <w:t xml:space="preserve">Han, X.; Huang, J.; Lin, H.; Wang, Z.; Li, P.; Chen, Y. 2D titanium carbide MXene as a robust biocompatible nanoplatform for cancer theranostics. Adv. Mater. 2018, 30 (34), 1707303. </w:t>
      </w:r>
      <w:r>
        <w:rPr>
          <w:i/>
          <w:color w:val="004D40"/>
          <w:sz w:val="18"/>
        </w:rPr>
        <w:t>doi:10.1002/adma.201707303</w:t>
      </w:r>
    </w:p>
    <w:p>
      <w:pPr>
        <w:spacing w:after="60"/>
        <w:ind w:left="576"/>
      </w:pPr>
      <w:r>
        <w:rPr>
          <w:b/>
        </w:rPr>
        <w:t xml:space="preserve">26. </w:t>
      </w:r>
      <w:r>
        <w:t xml:space="preserve">Bannwarth, C.; Ehlert, S.; Grimme, S. GFN2-xTB—An accurate and broadly parametrized self-consistent tight-binding quantum chemical method with multipole electrostatics and density-dependent dispersion contributions. J. Chem. Theory Comput. 2019, 15 (3), 1652–1671. </w:t>
      </w:r>
      <w:r>
        <w:rPr>
          <w:i/>
          <w:color w:val="004D40"/>
          <w:sz w:val="18"/>
        </w:rPr>
        <w:t>doi:10.1021/acs.jctc.8b01176</w:t>
      </w:r>
    </w:p>
    <w:p>
      <w:pPr>
        <w:spacing w:after="60"/>
        <w:ind w:left="576"/>
      </w:pPr>
      <w:r>
        <w:rPr>
          <w:b/>
        </w:rPr>
        <w:t xml:space="preserve">27. </w:t>
      </w:r>
      <w:r>
        <w:t xml:space="preserve">Caldeweyher, E.; Ehlert, S.; Hansen, A.; Neugebauer, H.; Spicher, S.; Bannwarth, C.; Grimme, S. A generally applicable atomic-charge dependent London dispersion correction. J. Chem. Phys. 2019, 150 (15), 154122. </w:t>
      </w:r>
      <w:r>
        <w:rPr>
          <w:i/>
          <w:color w:val="004D40"/>
          <w:sz w:val="18"/>
        </w:rPr>
        <w:t>doi:10.1063/1.5090222</w:t>
      </w:r>
    </w:p>
    <w:p>
      <w:pPr>
        <w:spacing w:after="60"/>
        <w:ind w:left="576"/>
      </w:pPr>
      <w:r>
        <w:rPr>
          <w:b/>
        </w:rPr>
        <w:t xml:space="preserve">28. </w:t>
      </w:r>
      <w:r>
        <w:t xml:space="preserve">Neese, F. Software update: The ORCA program system—Version 5.0. WIREs Comput. Mol. Sci. 2022, 12 (5), e1606. </w:t>
      </w:r>
      <w:r>
        <w:rPr>
          <w:i/>
          <w:color w:val="004D40"/>
          <w:sz w:val="18"/>
        </w:rPr>
        <w:t>doi:10.1002/wcms.1606</w:t>
      </w:r>
    </w:p>
    <w:p>
      <w:pPr>
        <w:spacing w:after="60"/>
        <w:ind w:left="576"/>
      </w:pPr>
      <w:r>
        <w:rPr>
          <w:b/>
        </w:rPr>
        <w:t xml:space="preserve">29. </w:t>
      </w:r>
      <w:r>
        <w:t xml:space="preserve">Becke, A. D. Density-functional thermochemistry. III. The role of exact exchange. J. Chem. Phys. 1993, 98 (7), 5648–5652. </w:t>
      </w:r>
      <w:r>
        <w:rPr>
          <w:i/>
          <w:color w:val="004D40"/>
          <w:sz w:val="18"/>
        </w:rPr>
        <w:t>doi:10.1063/1.464913</w:t>
      </w:r>
    </w:p>
    <w:p>
      <w:pPr>
        <w:spacing w:after="60"/>
        <w:ind w:left="576"/>
      </w:pPr>
      <w:r>
        <w:rPr>
          <w:b/>
        </w:rPr>
        <w:t xml:space="preserve">30. </w:t>
      </w:r>
      <w:r>
        <w:t xml:space="preserve">Weigend, F.; Ahlrichs, R. Balanced basis sets of split valence, triple zeta valence and quadruple zeta valence quality for H to Rn: Design and assessment of accuracy. Phys. Chem. Chem. Phys. 2005, 7 (18), 3297–3305. </w:t>
      </w:r>
      <w:r>
        <w:rPr>
          <w:i/>
          <w:color w:val="004D40"/>
          <w:sz w:val="18"/>
        </w:rPr>
        <w:t>doi:10.1039/b508541a</w:t>
      </w:r>
    </w:p>
    <w:p>
      <w:pPr>
        <w:spacing w:after="60"/>
        <w:ind w:left="576"/>
      </w:pPr>
      <w:r>
        <w:rPr>
          <w:b/>
        </w:rPr>
        <w:t xml:space="preserve">31. </w:t>
      </w:r>
      <w:r>
        <w:t xml:space="preserve">Trott, O.; Olson, A. J. AutoDock Vina: Improving the speed and accuracy of docking with a new scoring function, efficient optimization, and multithreading. J. Comput. Chem. 2010, 31 (2), 455–461. </w:t>
      </w:r>
      <w:r>
        <w:rPr>
          <w:i/>
          <w:color w:val="004D40"/>
          <w:sz w:val="18"/>
        </w:rPr>
        <w:t>doi:10.1002/jcc.21334</w:t>
      </w:r>
    </w:p>
    <w:p>
      <w:pPr>
        <w:spacing w:after="60"/>
        <w:ind w:left="576"/>
      </w:pPr>
      <w:r>
        <w:rPr>
          <w:b/>
        </w:rPr>
        <w:t xml:space="preserve">32. </w:t>
      </w:r>
      <w:r>
        <w:t xml:space="preserve">Eberhardt, J.; Santos-Martins, D.; Tillack, A. F.; Forli, S. AutoDock Vina 1.2.0: New docking methods, expanded force field, and python bindings. J. Chem. Inf. Model. 2021, 61 (8), 3891–3898. </w:t>
      </w:r>
      <w:r>
        <w:rPr>
          <w:i/>
          <w:color w:val="004D40"/>
          <w:sz w:val="18"/>
        </w:rPr>
        <w:t>doi:10.1021/acs.jcim.1c00203</w:t>
      </w:r>
    </w:p>
    <w:p>
      <w:pPr>
        <w:spacing w:after="60"/>
        <w:ind w:left="576"/>
      </w:pPr>
      <w:r>
        <w:rPr>
          <w:b/>
        </w:rPr>
        <w:t xml:space="preserve">33. </w:t>
      </w:r>
      <w:r>
        <w:t xml:space="preserve">Landrum, G. et al. RDKit: Open-source cheminformatics toolkit, version 2024.03.1. https://www.rdkit.org (accessed 2026). </w:t>
      </w:r>
      <w:r>
        <w:rPr>
          <w:i/>
          <w:color w:val="004D40"/>
          <w:sz w:val="18"/>
        </w:rPr>
        <w:t>doi:10.5281/zenodo.10848032</w:t>
      </w:r>
    </w:p>
    <w:p>
      <w:pPr>
        <w:spacing w:after="60"/>
        <w:ind w:left="576"/>
      </w:pPr>
      <w:r>
        <w:rPr>
          <w:b/>
        </w:rPr>
        <w:t xml:space="preserve">34. </w:t>
      </w:r>
      <w:r>
        <w:t xml:space="preserve">OECD. Guidance Document on the Validation of (Quantitative) Structure-Activity Relationship [(Q)SAR] Models; OECD Environment Health and Safety Publications, Series on Testing and Assessment No. 69; OECD Publishing: Paris, 2007. </w:t>
      </w:r>
      <w:r>
        <w:rPr>
          <w:i/>
          <w:color w:val="004D40"/>
          <w:sz w:val="18"/>
        </w:rPr>
        <w:t>doi:10.1787/9789264085442-en</w:t>
      </w:r>
    </w:p>
    <w:p>
      <w:pPr>
        <w:spacing w:after="60"/>
        <w:ind w:left="576"/>
      </w:pPr>
      <w:r>
        <w:rPr>
          <w:b/>
        </w:rPr>
        <w:t xml:space="preserve">35. </w:t>
      </w:r>
      <w:r>
        <w:t xml:space="preserve">Gramatica, P. Principles of QSAR models validation: internal and external. QSAR Comb. Sci. 2007, 26 (5), 694–701. </w:t>
      </w:r>
      <w:r>
        <w:rPr>
          <w:i/>
          <w:color w:val="004D40"/>
          <w:sz w:val="18"/>
        </w:rPr>
        <w:t>doi:10.1002/qsar.200610151</w:t>
      </w:r>
    </w:p>
    <w:p>
      <w:pPr>
        <w:spacing w:after="60"/>
        <w:ind w:left="576"/>
      </w:pPr>
      <w:r>
        <w:rPr>
          <w:b/>
        </w:rPr>
        <w:t xml:space="preserve">36. </w:t>
      </w:r>
      <w:r>
        <w:t xml:space="preserve">Tropsha, A. Best practices for QSAR model development, validation, and exploitation. Mol. Inform. 2010, 29 (6–7), 476–488. </w:t>
      </w:r>
      <w:r>
        <w:rPr>
          <w:i/>
          <w:color w:val="004D40"/>
          <w:sz w:val="18"/>
        </w:rPr>
        <w:t>doi:10.1002/minf.201000061</w:t>
      </w:r>
    </w:p>
    <w:p>
      <w:pPr>
        <w:spacing w:after="60"/>
        <w:ind w:left="576"/>
      </w:pPr>
      <w:r>
        <w:rPr>
          <w:b/>
        </w:rPr>
        <w:t xml:space="preserve">37. </w:t>
      </w:r>
      <w:r>
        <w:t xml:space="preserve">Rücker, C.; Rücker, G.; Meringer, M. y-Randomization and its variants in QSPR/QSAR. J. Chem. Inf. Model. 2007, 47 (6), 2345–2357. </w:t>
      </w:r>
      <w:r>
        <w:rPr>
          <w:i/>
          <w:color w:val="004D40"/>
          <w:sz w:val="18"/>
        </w:rPr>
        <w:t>doi:10.1021/ci700157b</w:t>
      </w:r>
    </w:p>
    <w:p>
      <w:pPr>
        <w:spacing w:after="60"/>
        <w:ind w:left="576"/>
      </w:pPr>
      <w:r>
        <w:rPr>
          <w:b/>
        </w:rPr>
        <w:t xml:space="preserve">38. </w:t>
      </w:r>
      <w:r>
        <w:t xml:space="preserve">Lundberg, S. M.; Lee, S.-I. A unified approach to interpreting model predictions. In Advances in Neural Information Processing Systems 30; Guyon, I. et al., Eds.; Curran Associates, Inc., 2017; pp 4765–4774. </w:t>
      </w:r>
      <w:r>
        <w:rPr>
          <w:i/>
          <w:color w:val="004D40"/>
          <w:sz w:val="18"/>
        </w:rPr>
        <w:t>doi:10.5555/3295222.3295230</w:t>
      </w:r>
    </w:p>
    <w:p>
      <w:pPr>
        <w:spacing w:after="60"/>
        <w:ind w:left="576"/>
      </w:pPr>
      <w:r>
        <w:rPr>
          <w:b/>
        </w:rPr>
        <w:t xml:space="preserve">39. </w:t>
      </w:r>
      <w:r>
        <w:t xml:space="preserve">Parr, R. G.; Pearson, R. G. Absolute hardness: companion parameter to absolute electronegativity. J. Am. Chem. Soc. 1983, 105 (26), 7512–7516. </w:t>
      </w:r>
      <w:r>
        <w:rPr>
          <w:i/>
          <w:color w:val="004D40"/>
          <w:sz w:val="18"/>
        </w:rPr>
        <w:t>doi:10.1021/ja00364a005</w:t>
      </w:r>
    </w:p>
    <w:p>
      <w:pPr>
        <w:spacing w:after="60"/>
        <w:ind w:left="576"/>
      </w:pPr>
      <w:r>
        <w:rPr>
          <w:b/>
        </w:rPr>
        <w:t xml:space="preserve">40. </w:t>
      </w:r>
      <w:r>
        <w:t xml:space="preserve">Parr, R. G.; Szentpály, L. v.; Liu, S. Electrophilicity index. J. Am. Chem. Soc. 1999, 121 (9), 1922–1924. </w:t>
      </w:r>
      <w:r>
        <w:rPr>
          <w:i/>
          <w:color w:val="004D40"/>
          <w:sz w:val="18"/>
        </w:rPr>
        <w:t>doi:10.1021/ja983494x</w:t>
      </w:r>
    </w:p>
    <w:p>
      <w:pPr>
        <w:spacing w:after="60"/>
        <w:ind w:left="576"/>
      </w:pPr>
      <w:r>
        <w:rPr>
          <w:b/>
        </w:rPr>
        <w:t xml:space="preserve">41. </w:t>
      </w:r>
      <w:r>
        <w:t xml:space="preserve">Hopkins, A. L.; Groom, C. R.; Alex, A. Ligand efficiency: a useful metric for lead selection. Drug Discov. Today 2004, 9 (10), 430–431. </w:t>
      </w:r>
      <w:r>
        <w:rPr>
          <w:i/>
          <w:color w:val="004D40"/>
          <w:sz w:val="18"/>
        </w:rPr>
        <w:t>doi:10.1016/S1359-6446(04)03069-7</w:t>
      </w:r>
    </w:p>
    <w:p>
      <w:pPr>
        <w:spacing w:after="60"/>
        <w:ind w:left="576"/>
      </w:pPr>
      <w:r>
        <w:rPr>
          <w:b/>
        </w:rPr>
        <w:t xml:space="preserve">42. </w:t>
      </w:r>
      <w:r>
        <w:t xml:space="preserve">Kramer, C.; Gedeck, P. Leave-many-out cross-validation and the applicability domain of QSAR models. J. Chem. Inf. Model. 2012, 52 (3), 697–707. </w:t>
      </w:r>
      <w:r>
        <w:rPr>
          <w:i/>
          <w:color w:val="004D40"/>
          <w:sz w:val="18"/>
        </w:rPr>
        <w:t>doi:10.1021/ci200543e</w:t>
      </w:r>
    </w:p>
    <w:p>
      <w:pPr>
        <w:spacing w:after="60"/>
        <w:ind w:left="576"/>
      </w:pPr>
      <w:r>
        <w:rPr>
          <w:b/>
        </w:rPr>
        <w:t xml:space="preserve">43. </w:t>
      </w:r>
      <w:r>
        <w:t xml:space="preserve">Cherkasov, A.; Muratov, E. N.; Fourches, D.; Varnek, A.; Baskin, I. I.; Cronin, M.; Dearden, J.; Gramatica, P.; Martin, Y. C.; Todeschini, R. et al. QSAR modeling: where have you been? Where are you going to? J. Med. Chem. 2014, 57 (12), 4977–5010. </w:t>
      </w:r>
      <w:r>
        <w:rPr>
          <w:i/>
          <w:color w:val="004D40"/>
          <w:sz w:val="18"/>
        </w:rPr>
        <w:t>doi:10.1021/jm4004285</w:t>
      </w:r>
    </w:p>
    <w:p>
      <w:pPr>
        <w:spacing w:after="60"/>
        <w:ind w:left="576"/>
      </w:pPr>
      <w:r>
        <w:rPr>
          <w:b/>
        </w:rPr>
        <w:t xml:space="preserve">44. </w:t>
      </w:r>
      <w:r>
        <w:t xml:space="preserve">Veber, D. F.; Johnson, S. R.; Cheng, H. Y.; Smith, B. R.; Ward, K. W.; Kopple, K. D. Molecular properties that influence the oral bioavailability of drug candidates. J. Med. Chem. 2002, 45 (12), 2615–2623. </w:t>
      </w:r>
      <w:r>
        <w:rPr>
          <w:i/>
          <w:color w:val="004D40"/>
          <w:sz w:val="18"/>
        </w:rPr>
        <w:t>doi:10.1021/jm020017n</w:t>
      </w:r>
    </w:p>
    <w:p>
      <w:pPr>
        <w:spacing w:after="60"/>
        <w:ind w:left="576"/>
      </w:pPr>
      <w:r>
        <w:rPr>
          <w:b/>
        </w:rPr>
        <w:t xml:space="preserve">45. </w:t>
      </w:r>
      <w:r>
        <w:t xml:space="preserve">Lipinski, C. A.; Lombardo, F.; Dominy, B. W.; Feeney, P. J. Experimental and computational approaches to estimate solubility and permeability in drug discovery and development settings. Adv. Drug Deliv. Rev. 2001, 46 (1–3), 3–26. </w:t>
      </w:r>
      <w:r>
        <w:rPr>
          <w:i/>
          <w:color w:val="004D40"/>
          <w:sz w:val="18"/>
        </w:rPr>
        <w:t>doi:10.1016/s0169-409x(00)00129-0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