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-3.83 to -9.18 kcal/mol (mean -7.11), with recurrent contacts at Thr790, Met793, Leu844 and Ala743. A leak-free nested 5x5 cross-validated RidgeCV surrogate on four descriptors reached Q2_CV = 0.31 for the EGFR Vina docking score and 0.10 for the pristine-MXene interaction energy - the EGFR docking model is at best weakly predictive and the pristine-MXene model is not; the feature-importance analysis is reported as exploratory. OECD Principle 3 applicability-domain analysis (Williams leverage, on the same four descriptors as the surrogate model) places 33/35 compounds inside the domain for the pristine-MXene system and 32/33 for the EGFR docking system.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Thr790, Met793, Leu844, Ala743 and Val726.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same four descriptors used by the surrogate model (MolWt, MolMR, E_HOMO_eV, Omega_eV; Williams plot) [31-33]. The warning leverage is h* = 0.429 for the pristine-MXene system (n = 35) and h* = 0.455 for the EGFR docking system (n = 33); 33/35 and 32/33 compounds, respectively, fall inside the domain (leverage below h* and standardized residual within +/-3sigma).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40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EGFR docking and Pristine-MXene systems, same four descriptors as the surrogate model).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(Thr790, Met793, Leu844, Ala743).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