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Thr790, Met793, Leu844 and Ala743.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leverage, on the same four descriptors as the surrogate model) places 33/35 compounds inside the domain for the pristine-MXene system and 32/33 for the EGFR docking system.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-2.08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113.6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221.3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53.2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3rd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Dual EGFR/HER2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591.5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105.3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55.97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drawn from the single 35-compound master table, reached Q2_CV = 0.31 for the EGFR docking score (n = 33, two compounds lacking a Vina score excluded) and 0.10 for the pristine-MXene interaction-energy model (n = 35,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