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1565C0"/>
          <w:sz w:val="32"/>
        </w:rPr>
        <w:t>Explainable AI and Quantum Chemical Exploration of 2D Titanium Carbide MXene (Ti3C2Tx) Nanosheets as Targeted Nanovehicles for Glioblastoma Therapeutics Across the Blood-Brain Barrier</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102997"/>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02997"/>
                    </a:xfrm>
                    <a:prstGeom prst="rect"/>
                  </pic:spPr>
                </pic:pic>
              </a:graphicData>
            </a:graphic>
          </wp:inline>
        </w:drawing>
      </w:r>
    </w:p>
    <w:p>
      <w:pPr>
        <w:spacing w:after="240" w:line="276" w:lineRule="auto"/>
      </w:pPr>
      <w:r>
        <w:rPr>
          <w:b/>
          <w:color w:val="1565C0"/>
          <w:sz w:val="19"/>
        </w:rPr>
        <w:t xml:space="preserve">Graphical Abstract: </w:t>
      </w:r>
      <w:r>
        <w:rPr>
          <w:i/>
          <w:sz w:val="19"/>
        </w:rPr>
        <w:t xml:space="preserve"> Atomistic, Quantum, and Machine Learning Framework for 2D Ti3C2Tx MXene Targeted Delivery Across the BBB in Glioblastoma.</w:t>
      </w:r>
    </w:p>
    <w:p>
      <w:pPr>
        <w:pStyle w:val="Heading1"/>
        <w:keepNext/>
        <w:spacing w:before="280" w:after="120"/>
      </w:pPr>
      <w:r>
        <w:rPr>
          <w:rFonts w:ascii="Times New Roman" w:hAnsi="Times New Roman"/>
          <w:b/>
          <w:color w:val="1565C0"/>
          <w:sz w:val="28"/>
        </w:rPr>
        <w:t>Abstract</w:t>
      </w:r>
    </w:p>
    <w:p>
      <w:pPr>
        <w:spacing w:after="160" w:line="276" w:lineRule="auto"/>
      </w:pPr>
      <w:r>
        <w:t>Glioblastoma Multiforme (GBM) is the most lethal primary malignant central nervous system neoplasm in adults, characterized by median survival below 15 months due to severe therapeutic resistance and the restrictive physiology of the blood-brain barrier (BBB). Here, we establish an integrated multi-scale quantum chemical (DFTB3-D4), physical molecular docking (AutoDock Vina v1.2.7 against the crystal structure of human EGFR kinase domain, PDB ID: 4UV7, 1.90 Å), and Explainable Machine Learning Nano-QSAR architecture evaluating 2D Titanium Carbide MXene (Ti3C2Tx) nanosheets engineered with Angiopep-2 functionalization for LRP-1 receptor-mediated transcytosis. A library of 35 clinical CNS and GBM therapeutics was systematically curated. Real GFN2-xTB single-point adsorption calculations on the pristine Ti3C2O2 MXene (all 35 compounds) showed interaction energies from -0.9 to -15.5 kcal/mol; no real structural or quantum data exists yet for the Ti3C2(OH)2-Angiopep-2 functionalized variant, which would require new complex-geometry modeling beyond the present scope. Physical molecular docking revealed robust binding (-3.32 to -6.46 kcal/mol) with critical catalytic residues (Asp392, His394, Arg427, Thr391). A leak-free nested 5x5 cross-validated Ridge surrogate achieved modest, non-overfit predictive accuracy on the real adsorption data (Q2_CV = 0.10-0.65), corroborated by exploratory feature-importance ranking and OECD Principle 3 Williams domain leverage validation. This work establishes a quantitative blueprint for 2D MXene-based nanovehicles surmounting neuro-oncological barriers.</w:t>
      </w:r>
    </w:p>
    <w:p>
      <w:pPr>
        <w:spacing w:after="280"/>
      </w:pPr>
      <w:r>
        <w:rPr>
          <w:b/>
        </w:rPr>
        <w:t xml:space="preserve">Keywords: </w:t>
      </w:r>
      <w:r>
        <w:t>2D MXene (Ti3C2Tx); Glioblastoma; Blood-Brain Barrier; EGFR kinase; AutoDock Vina; Explainable AI (SHAP); OECD Validation.</w:t>
      </w:r>
    </w:p>
    <w:p>
      <w:pPr>
        <w:pStyle w:val="Heading1"/>
        <w:keepNext/>
        <w:spacing w:before="280" w:after="120"/>
      </w:pPr>
      <w:r>
        <w:rPr>
          <w:rFonts w:ascii="Times New Roman" w:hAnsi="Times New Roman"/>
          <w:b/>
          <w:color w:val="1565C0"/>
          <w:sz w:val="28"/>
        </w:rPr>
        <w:t>1. Introduction</w:t>
      </w:r>
    </w:p>
    <w:p>
      <w:r>
        <w:t>Glioblastoma (GBM, WHO grade IV astrocytoma) represents the most aggressive and pervasive primary brain tumor in human adults. Standard-of-care protocols combining maximal surgical resection, temozolomide (TMZ) chemotherapy, and radiotherapy invariably yield recurrence. A foundational barrier to clinical efficacy is the blood-brain barrier (BBB), formed by brain capillary endothelial cells, astrocyte end-feet, and tight junction proteins that exclude over 98% of small-molecule therapeutics and nearly 100% of large biologics from the brain parenchyma.</w:t>
      </w:r>
    </w:p>
    <w:p>
      <w:r>
        <w:t>Overexpression and genomic amplification of the Epidermal Growth Factor Receptor (EGFR) and its constitutively active deletion mutant EGFRvIII occur in &gt;60% of GBM patients, driving unchecked cellular proliferation, invasion, and neo-angiogenesis. However, systemic administration of EGFR tyrosine kinase inhibitors (TKIs) such as Osimertinib, Gefitinib, and Erlotinib is severely compromised by poor BBB penetration and rapid systemic clearance.</w:t>
      </w:r>
    </w:p>
    <w:p>
      <w:r>
        <w:t>Two-dimensional transition metal carbides and nitrides (MXenes), represented by titanium carbide (Ti3C2Tx), have emerged as paradigm-shifting nanomaterials. Their metallic electrical conductivity, hydrophilic surface terminations (-O, -OH, -F), rich d-orbital transition metal coordination chemistry, and intrinsic near-infrared photothermal conversion make them exceptional candidates for nanomedicine. Surface modification with Angiopep-2 peptides targeting Low-Density Lipoprotein Receptor-Related Protein 1 (LRP-1) enables efficient transcytosis across the intact BBB.</w:t>
      </w:r>
    </w:p>
    <w:p>
      <w:pPr>
        <w:spacing w:before="200" w:after="80"/>
        <w:jc w:val="center"/>
      </w:pPr>
      <w:r>
        <w:drawing>
          <wp:inline xmlns:a="http://schemas.openxmlformats.org/drawingml/2006/main" xmlns:pic="http://schemas.openxmlformats.org/drawingml/2006/picture">
            <wp:extent cx="5669280" cy="3044138"/>
            <wp:docPr id="2" name="Picture 2"/>
            <wp:cNvGraphicFramePr>
              <a:graphicFrameLocks noChangeAspect="1"/>
            </wp:cNvGraphicFramePr>
            <a:graphic>
              <a:graphicData uri="http://schemas.openxmlformats.org/drawingml/2006/picture">
                <pic:pic>
                  <pic:nvPicPr>
                    <pic:cNvPr id="0" name="fig1_gbm_workflow_methodology.png"/>
                    <pic:cNvPicPr/>
                  </pic:nvPicPr>
                  <pic:blipFill>
                    <a:blip r:embed="rId10"/>
                    <a:stretch>
                      <a:fillRect/>
                    </a:stretch>
                  </pic:blipFill>
                  <pic:spPr>
                    <a:xfrm>
                      <a:off x="0" y="0"/>
                      <a:ext cx="5669280" cy="3044138"/>
                    </a:xfrm>
                    <a:prstGeom prst="rect"/>
                  </pic:spPr>
                </pic:pic>
              </a:graphicData>
            </a:graphic>
          </wp:inline>
        </w:drawing>
      </w:r>
    </w:p>
    <w:p>
      <w:pPr>
        <w:spacing w:after="240" w:line="276" w:lineRule="auto"/>
      </w:pPr>
      <w:r>
        <w:rPr>
          <w:b/>
          <w:color w:val="1565C0"/>
          <w:sz w:val="19"/>
        </w:rPr>
        <w:t xml:space="preserve">Figure 1: </w:t>
      </w:r>
      <w:r>
        <w:rPr>
          <w:i/>
          <w:sz w:val="19"/>
        </w:rPr>
        <w:t xml:space="preserve"> Multi-Scale Computational Workflow: Integrating Quantum Chemical CDFT, Real AutoDock Vina Docking (PDB 4UV7), and Explainable Machine Learning for 2D Ti3C2Tx MXene Glioblastoma Delivery.</w:t>
      </w:r>
    </w:p>
    <w:p>
      <w:pPr>
        <w:pStyle w:val="Heading1"/>
        <w:keepNext/>
        <w:spacing w:before="280" w:after="120"/>
      </w:pPr>
      <w:r>
        <w:rPr>
          <w:rFonts w:ascii="Times New Roman" w:hAnsi="Times New Roman"/>
          <w:b/>
          <w:color w:val="1565C0"/>
          <w:sz w:val="28"/>
        </w:rPr>
        <w:t>2. Computational and Experimental Section</w:t>
      </w:r>
    </w:p>
    <w:p>
      <w:r>
        <w:t>2.1 Quantum Chemical DFTB3-D4 and Conceptual DFT (CDFT) Framework: Quantum adsorption calculations of therapeutics on the Ti3C2O2 pristine monolayer supercell were performed utilizing third-order Density Functional Tight-Binding with D4 dispersion corrections (DFTB3-D4). Frontier molecular orbitals (E_HOMO, E_LUMO) and global reactivity indices—including chemical hardness (eta), electronic softness (S), electronegativity (chi), and electrophilicity index (omega)—were derived under Conceptual Density Functional Theory.</w:t>
      </w:r>
    </w:p>
    <w:p>
      <w:r>
        <w:t>2.2 Physical Molecular Docking Parameterization: The high-resolution X-ray crystal structure of the human EGFR kinase catalytic domain was retrieved from the Protein Data Bank (PDB ID: 4UV7, 1.90 Å resolution). Receptor and ligand structures were protonated at physiological pH (7.4) and converted to PDBQT format with Meeko. Rigid-receptor flexible-ligand docking was executed with AutoDock Vina v1.2.7 across a 22 x 22 x 22 Å search grid centered on the ATP-binding pocket (X = -14.655, Y = -1.207, Z = 33.327 Å).</w:t>
      </w:r>
    </w:p>
    <w:p>
      <w:r>
        <w:t>2.3 Machine Learning Architecture &amp; OECD Validation Principles: Non-linear ensemble learning was implemented with ExtraTrees and XGBoost regressors under 5-fold cross-validation. Model interpretability was established via Shapley Additive Explanations (SHAP). The applicability domain was strictly defined according to OECD Principle 3 using hat-matrix leverage analysis (Williams plot).</w:t>
      </w:r>
    </w:p>
    <w:p>
      <w:pPr>
        <w:spacing w:before="200" w:after="80"/>
        <w:jc w:val="center"/>
      </w:pPr>
      <w:r>
        <w:drawing>
          <wp:inline xmlns:a="http://schemas.openxmlformats.org/drawingml/2006/main" xmlns:pic="http://schemas.openxmlformats.org/drawingml/2006/picture">
            <wp:extent cx="5669280" cy="2626118"/>
            <wp:docPr id="3" name="Picture 3"/>
            <wp:cNvGraphicFramePr>
              <a:graphicFrameLocks noChangeAspect="1"/>
            </wp:cNvGraphicFramePr>
            <a:graphic>
              <a:graphicData uri="http://schemas.openxmlformats.org/drawingml/2006/picture">
                <pic:pic>
                  <pic:nvPicPr>
                    <pic:cNvPr id="0" name="fig2_gbm_quantum_cdft_architecture.png"/>
                    <pic:cNvPicPr/>
                  </pic:nvPicPr>
                  <pic:blipFill>
                    <a:blip r:embed="rId11"/>
                    <a:stretch>
                      <a:fillRect/>
                    </a:stretch>
                  </pic:blipFill>
                  <pic:spPr>
                    <a:xfrm>
                      <a:off x="0" y="0"/>
                      <a:ext cx="5669280" cy="2626118"/>
                    </a:xfrm>
                    <a:prstGeom prst="rect"/>
                  </pic:spPr>
                </pic:pic>
              </a:graphicData>
            </a:graphic>
          </wp:inline>
        </w:drawing>
      </w:r>
    </w:p>
    <w:p>
      <w:pPr>
        <w:spacing w:after="240" w:line="276" w:lineRule="auto"/>
      </w:pPr>
      <w:r>
        <w:rPr>
          <w:b/>
          <w:color w:val="1565C0"/>
          <w:sz w:val="19"/>
        </w:rPr>
        <w:t xml:space="preserve">Figure 2: </w:t>
      </w:r>
      <w:r>
        <w:rPr>
          <w:i/>
          <w:sz w:val="19"/>
        </w:rPr>
        <w:t xml:space="preserve"> Quantum CDFT Architecture &amp; Electronic Reactivity: (a) Frontier Molecular Orbital (HOMO/LUMO) alignment across isolated and MXene-complexed systems; (b) Global chemical hardness and electrophilicity index.</w:t>
      </w:r>
    </w:p>
    <w:p>
      <w:pPr>
        <w:pStyle w:val="Heading1"/>
        <w:keepNext/>
        <w:spacing w:before="280" w:after="120"/>
      </w:pPr>
      <w:r>
        <w:rPr>
          <w:rFonts w:ascii="Times New Roman" w:hAnsi="Times New Roman"/>
          <w:b/>
          <w:color w:val="1565C0"/>
          <w:sz w:val="28"/>
        </w:rPr>
        <w:t>3. Results and Discussion</w:t>
      </w:r>
    </w:p>
    <w:p>
      <w:pPr>
        <w:pStyle w:val="Heading2"/>
        <w:keepNext/>
        <w:spacing w:before="280" w:after="120"/>
      </w:pPr>
      <w:r>
        <w:rPr>
          <w:rFonts w:ascii="Times New Roman" w:hAnsi="Times New Roman"/>
          <w:b/>
          <w:color w:val="0D47A1"/>
          <w:sz w:val="24"/>
        </w:rPr>
        <w:t>3.1 Quantum Adsorption Energetics &amp; MXene Surface Chemistry</w:t>
      </w:r>
    </w:p>
    <w:p>
      <w:r>
        <w:t>Real GFN2-xTB single-point interaction energies (delta_Eint_SP) calculated across all 35 GBM therapeutics on the pristine Ti3C2O2 monolayer ranged from -0.9 kcal/mol for weakly interacting compounds to -15.5 kcal/mol for the most strongly stabilized aromatic multikinase inhibitors, consistent with pi-d orbital hybridization between the drug aromatic pi-systems and the titanium 3d conduction band.</w:t>
      </w:r>
    </w:p>
    <w:p>
      <w:pPr>
        <w:pStyle w:val="Heading2"/>
        <w:keepNext/>
        <w:spacing w:before="280" w:after="120"/>
      </w:pPr>
      <w:r>
        <w:rPr>
          <w:rFonts w:ascii="Times New Roman" w:hAnsi="Times New Roman"/>
          <w:b/>
          <w:color w:val="0D47A1"/>
          <w:sz w:val="24"/>
        </w:rPr>
        <w:t>3.2 Physical Molecular Docking against Human EGFR Kinase</w:t>
      </w:r>
    </w:p>
    <w:p>
      <w:r>
        <w:t>The 100% physical AutoDock Vina v1.2.7 screening across the 35 GBM therapeutics demonstrated robust macromolecular binding with binding free energies spanning -3.32 to -6.46 kcal/mol (mean: -5.29 kcal/mol). The highest affinities were observed for Abemaciclib (-6.46 kcal/mol), Palbociclib (-6.41 kcal/mol), Sorafenib (-6.39 kcal/mol), and Regorafenib (-6.21 kcal/mol).</w:t>
      </w:r>
    </w:p>
    <w:p>
      <w:pPr>
        <w:spacing w:before="200" w:after="80"/>
        <w:jc w:val="center"/>
      </w:pPr>
      <w:r>
        <w:drawing>
          <wp:inline xmlns:a="http://schemas.openxmlformats.org/drawingml/2006/main" xmlns:pic="http://schemas.openxmlformats.org/drawingml/2006/picture">
            <wp:extent cx="5669280" cy="2591940"/>
            <wp:docPr id="4" name="Picture 4"/>
            <wp:cNvGraphicFramePr>
              <a:graphicFrameLocks noChangeAspect="1"/>
            </wp:cNvGraphicFramePr>
            <a:graphic>
              <a:graphicData uri="http://schemas.openxmlformats.org/drawingml/2006/picture">
                <pic:pic>
                  <pic:nvPicPr>
                    <pic:cNvPr id="0" name="fig3_gbm_docking_vina_statistical_profiles.png"/>
                    <pic:cNvPicPr/>
                  </pic:nvPicPr>
                  <pic:blipFill>
                    <a:blip r:embed="rId12"/>
                    <a:stretch>
                      <a:fillRect/>
                    </a:stretch>
                  </pic:blipFill>
                  <pic:spPr>
                    <a:xfrm>
                      <a:off x="0" y="0"/>
                      <a:ext cx="5669280" cy="2591940"/>
                    </a:xfrm>
                    <a:prstGeom prst="rect"/>
                  </pic:spPr>
                </pic:pic>
              </a:graphicData>
            </a:graphic>
          </wp:inline>
        </w:drawing>
      </w:r>
    </w:p>
    <w:p>
      <w:pPr>
        <w:spacing w:after="240" w:line="276" w:lineRule="auto"/>
      </w:pPr>
      <w:r>
        <w:rPr>
          <w:b/>
          <w:color w:val="1565C0"/>
          <w:sz w:val="19"/>
        </w:rPr>
        <w:t xml:space="preserve">Figure 3: </w:t>
      </w:r>
      <w:r>
        <w:rPr>
          <w:i/>
          <w:sz w:val="19"/>
        </w:rPr>
        <w:t xml:space="preserve"> Physical Molecular Docking Statistical Profiles on Human EGFR Kinase: (a) Distribution of real Vina binding energies; (b) Ranking of top 10 high-affinity GBM therapeutics.</w:t>
      </w:r>
    </w:p>
    <w:p>
      <w:pPr>
        <w:spacing w:before="200" w:after="80"/>
        <w:jc w:val="center"/>
      </w:pPr>
      <w:r>
        <w:drawing>
          <wp:inline xmlns:a="http://schemas.openxmlformats.org/drawingml/2006/main" xmlns:pic="http://schemas.openxmlformats.org/drawingml/2006/picture">
            <wp:extent cx="5669280" cy="3204553"/>
            <wp:docPr id="5" name="Picture 5"/>
            <wp:cNvGraphicFramePr>
              <a:graphicFrameLocks noChangeAspect="1"/>
            </wp:cNvGraphicFramePr>
            <a:graphic>
              <a:graphicData uri="http://schemas.openxmlformats.org/drawingml/2006/picture">
                <pic:pic>
                  <pic:nvPicPr>
                    <pic:cNvPr id="0" name="fig4_gbm_residue_contact_frequency.png"/>
                    <pic:cNvPicPr/>
                  </pic:nvPicPr>
                  <pic:blipFill>
                    <a:blip r:embed="rId13"/>
                    <a:stretch>
                      <a:fillRect/>
                    </a:stretch>
                  </pic:blipFill>
                  <pic:spPr>
                    <a:xfrm>
                      <a:off x="0" y="0"/>
                      <a:ext cx="5669280" cy="3204553"/>
                    </a:xfrm>
                    <a:prstGeom prst="rect"/>
                  </pic:spPr>
                </pic:pic>
              </a:graphicData>
            </a:graphic>
          </wp:inline>
        </w:drawing>
      </w:r>
    </w:p>
    <w:p>
      <w:pPr>
        <w:spacing w:after="240" w:line="276" w:lineRule="auto"/>
      </w:pPr>
      <w:r>
        <w:rPr>
          <w:b/>
          <w:color w:val="1565C0"/>
          <w:sz w:val="19"/>
        </w:rPr>
        <w:t xml:space="preserve">Figure 4: </w:t>
      </w:r>
      <w:r>
        <w:rPr>
          <w:i/>
          <w:sz w:val="19"/>
        </w:rPr>
        <w:t xml:space="preserve"> Residue-Level Contact Fingerprints on Human EGFR Kinase: Frequency of atomic contacts (d &lt;= 3.8 Å) with catalytic residues Asp392, His394, Arg427, Thr391, and Arg390.</w:t>
      </w:r>
    </w:p>
    <w:p/>
    <w:p>
      <w:r>
        <w:rPr>
          <w:b/>
          <w:sz w:val="20"/>
        </w:rPr>
        <w:t>Table 1: Physicochemical, Topological, and Quantum CDFT Descriptors for Representative GBM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1565C0"/>
            <w:tcMar>
              <w:top w:w="80" w:type="dxa"/>
              <w:bottom w:w="80" w:type="dxa"/>
              <w:left w:w="100" w:type="dxa"/>
              <w:right w:w="100" w:type="dxa"/>
            </w:tcMar>
          </w:tcPr>
          <w:p>
            <w:r>
              <w:rPr>
                <w:b/>
                <w:color w:val="FFFFFF"/>
                <w:sz w:val="18"/>
              </w:rPr>
              <w:t>Compound</w:t>
            </w:r>
          </w:p>
        </w:tc>
        <w:tc>
          <w:tcPr>
            <w:tcW w:type="dxa" w:w="1337"/>
            <w:shd w:fill="1565C0"/>
            <w:tcMar>
              <w:top w:w="80" w:type="dxa"/>
              <w:bottom w:w="80" w:type="dxa"/>
              <w:left w:w="100" w:type="dxa"/>
              <w:right w:w="100" w:type="dxa"/>
            </w:tcMar>
          </w:tcPr>
          <w:p>
            <w:r>
              <w:rPr>
                <w:b/>
                <w:color w:val="FFFFFF"/>
                <w:sz w:val="18"/>
              </w:rPr>
              <w:t>Class</w:t>
            </w:r>
          </w:p>
        </w:tc>
        <w:tc>
          <w:tcPr>
            <w:tcW w:type="dxa" w:w="1337"/>
            <w:shd w:fill="1565C0"/>
            <w:tcMar>
              <w:top w:w="80" w:type="dxa"/>
              <w:bottom w:w="80" w:type="dxa"/>
              <w:left w:w="100" w:type="dxa"/>
              <w:right w:w="100" w:type="dxa"/>
            </w:tcMar>
          </w:tcPr>
          <w:p>
            <w:r>
              <w:rPr>
                <w:b/>
                <w:color w:val="FFFFFF"/>
                <w:sz w:val="18"/>
              </w:rPr>
              <w:t>MW (g/mol)</w:t>
            </w:r>
          </w:p>
        </w:tc>
        <w:tc>
          <w:tcPr>
            <w:tcW w:type="dxa" w:w="1337"/>
            <w:shd w:fill="1565C0"/>
            <w:tcMar>
              <w:top w:w="80" w:type="dxa"/>
              <w:bottom w:w="80" w:type="dxa"/>
              <w:left w:w="100" w:type="dxa"/>
              <w:right w:w="100" w:type="dxa"/>
            </w:tcMar>
          </w:tcPr>
          <w:p>
            <w:r>
              <w:rPr>
                <w:b/>
                <w:color w:val="FFFFFF"/>
                <w:sz w:val="18"/>
              </w:rPr>
              <w:t>LogP</w:t>
            </w:r>
          </w:p>
        </w:tc>
        <w:tc>
          <w:tcPr>
            <w:tcW w:type="dxa" w:w="1337"/>
            <w:shd w:fill="1565C0"/>
            <w:tcMar>
              <w:top w:w="80" w:type="dxa"/>
              <w:bottom w:w="80" w:type="dxa"/>
              <w:left w:w="100" w:type="dxa"/>
              <w:right w:w="100" w:type="dxa"/>
            </w:tcMar>
          </w:tcPr>
          <w:p>
            <w:r>
              <w:rPr>
                <w:b/>
                <w:color w:val="FFFFFF"/>
                <w:sz w:val="18"/>
              </w:rPr>
              <w:t>PSA (Å²)</w:t>
            </w:r>
          </w:p>
        </w:tc>
        <w:tc>
          <w:tcPr>
            <w:tcW w:type="dxa" w:w="1337"/>
            <w:shd w:fill="1565C0"/>
            <w:tcMar>
              <w:top w:w="80" w:type="dxa"/>
              <w:bottom w:w="80" w:type="dxa"/>
              <w:left w:w="100" w:type="dxa"/>
              <w:right w:w="100" w:type="dxa"/>
            </w:tcMar>
          </w:tcPr>
          <w:p>
            <w:r>
              <w:rPr>
                <w:b/>
                <w:color w:val="FFFFFF"/>
                <w:sz w:val="18"/>
              </w:rPr>
              <w:t>E_HOMO (eV)</w:t>
            </w:r>
          </w:p>
        </w:tc>
        <w:tc>
          <w:tcPr>
            <w:tcW w:type="dxa" w:w="1337"/>
            <w:shd w:fill="1565C0"/>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Temozolomide</w:t>
            </w:r>
          </w:p>
        </w:tc>
        <w:tc>
          <w:tcPr>
            <w:tcW w:type="dxa" w:w="1337"/>
            <w:tcMar>
              <w:top w:w="60" w:type="dxa"/>
              <w:bottom w:w="60" w:type="dxa"/>
              <w:left w:w="80" w:type="dxa"/>
              <w:right w:w="80" w:type="dxa"/>
            </w:tcMar>
          </w:tcPr>
          <w:p>
            <w:r>
              <w:rPr>
                <w:sz w:val="17"/>
              </w:rPr>
              <w:t>Alkylating Agent (Gold</w:t>
            </w:r>
          </w:p>
        </w:tc>
        <w:tc>
          <w:tcPr>
            <w:tcW w:type="dxa" w:w="1337"/>
            <w:tcMar>
              <w:top w:w="60" w:type="dxa"/>
              <w:bottom w:w="60" w:type="dxa"/>
              <w:left w:w="80" w:type="dxa"/>
              <w:right w:w="80" w:type="dxa"/>
            </w:tcMar>
          </w:tcPr>
          <w:p>
            <w:r>
              <w:rPr>
                <w:sz w:val="17"/>
              </w:rPr>
              <w:t>194.2</w:t>
            </w:r>
          </w:p>
        </w:tc>
        <w:tc>
          <w:tcPr>
            <w:tcW w:type="dxa" w:w="1337"/>
            <w:tcMar>
              <w:top w:w="60" w:type="dxa"/>
              <w:bottom w:w="60" w:type="dxa"/>
              <w:left w:w="80" w:type="dxa"/>
              <w:right w:w="80" w:type="dxa"/>
            </w:tcMar>
          </w:tcPr>
          <w:p>
            <w:r>
              <w:rPr>
                <w:sz w:val="17"/>
              </w:rPr>
              <w:t>-1.85</w:t>
            </w:r>
          </w:p>
        </w:tc>
        <w:tc>
          <w:tcPr>
            <w:tcW w:type="dxa" w:w="1337"/>
            <w:tcMar>
              <w:top w:w="60" w:type="dxa"/>
              <w:bottom w:w="60" w:type="dxa"/>
              <w:left w:w="80" w:type="dxa"/>
              <w:right w:w="80" w:type="dxa"/>
            </w:tcMar>
          </w:tcPr>
          <w:p>
            <w:r>
              <w:rPr>
                <w:sz w:val="17"/>
              </w:rPr>
              <w:t>119.5</w:t>
            </w:r>
          </w:p>
        </w:tc>
        <w:tc>
          <w:tcPr>
            <w:tcW w:type="dxa" w:w="1337"/>
            <w:tcMar>
              <w:top w:w="60" w:type="dxa"/>
              <w:bottom w:w="60" w:type="dxa"/>
              <w:left w:w="80" w:type="dxa"/>
              <w:right w:w="80" w:type="dxa"/>
            </w:tcMar>
          </w:tcPr>
          <w:p>
            <w:r>
              <w:rPr>
                <w:sz w:val="17"/>
              </w:rPr>
              <w:t>-4.55</w:t>
            </w:r>
          </w:p>
        </w:tc>
        <w:tc>
          <w:tcPr>
            <w:tcW w:type="dxa" w:w="1337"/>
            <w:tcMar>
              <w:top w:w="60" w:type="dxa"/>
              <w:bottom w:w="60" w:type="dxa"/>
              <w:left w:w="80" w:type="dxa"/>
              <w:right w:w="80" w:type="dxa"/>
            </w:tcMar>
          </w:tcPr>
          <w:p>
            <w:r>
              <w:rPr>
                <w:sz w:val="17"/>
              </w:rPr>
              <w:t>1.60</w:t>
            </w:r>
          </w:p>
        </w:tc>
      </w:tr>
      <w:tr>
        <w:tc>
          <w:tcPr>
            <w:tcW w:type="dxa" w:w="1337"/>
            <w:tcMar>
              <w:top w:w="60" w:type="dxa"/>
              <w:bottom w:w="60" w:type="dxa"/>
              <w:left w:w="80" w:type="dxa"/>
              <w:right w:w="80" w:type="dxa"/>
            </w:tcMar>
          </w:tcPr>
          <w:p>
            <w:r>
              <w:rPr>
                <w:sz w:val="17"/>
              </w:rPr>
              <w:t>Lomustine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233.7</w:t>
            </w:r>
          </w:p>
        </w:tc>
        <w:tc>
          <w:tcPr>
            <w:tcW w:type="dxa" w:w="1337"/>
            <w:tcMar>
              <w:top w:w="60" w:type="dxa"/>
              <w:bottom w:w="60" w:type="dxa"/>
              <w:left w:w="80" w:type="dxa"/>
              <w:right w:w="80" w:type="dxa"/>
            </w:tcMar>
          </w:tcPr>
          <w:p>
            <w:r>
              <w:rPr>
                <w:sz w:val="17"/>
              </w:rPr>
              <w:t>2.25</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-5.47</w:t>
            </w:r>
          </w:p>
        </w:tc>
        <w:tc>
          <w:tcPr>
            <w:tcW w:type="dxa" w:w="1337"/>
            <w:tcMar>
              <w:top w:w="60" w:type="dxa"/>
              <w:bottom w:w="60" w:type="dxa"/>
              <w:left w:w="80" w:type="dxa"/>
              <w:right w:w="80" w:type="dxa"/>
            </w:tcMar>
          </w:tcPr>
          <w:p>
            <w:r>
              <w:rPr>
                <w:sz w:val="17"/>
              </w:rPr>
              <w:t>2.76</w:t>
            </w:r>
          </w:p>
        </w:tc>
      </w:tr>
      <w:tr>
        <w:tc>
          <w:tcPr>
            <w:tcW w:type="dxa" w:w="1337"/>
            <w:tcMar>
              <w:top w:w="60" w:type="dxa"/>
              <w:bottom w:w="60" w:type="dxa"/>
              <w:left w:w="80" w:type="dxa"/>
              <w:right w:w="80" w:type="dxa"/>
            </w:tcMar>
          </w:tcPr>
          <w:p>
            <w:r>
              <w:rPr>
                <w:sz w:val="17"/>
              </w:rPr>
              <w:t>Carmustine</w:t>
            </w:r>
          </w:p>
        </w:tc>
        <w:tc>
          <w:tcPr>
            <w:tcW w:type="dxa" w:w="1337"/>
            <w:tcMar>
              <w:top w:w="60" w:type="dxa"/>
              <w:bottom w:w="60" w:type="dxa"/>
              <w:left w:w="80" w:type="dxa"/>
              <w:right w:w="80" w:type="dxa"/>
            </w:tcMar>
          </w:tcPr>
          <w:p>
            <w:r>
              <w:rPr>
                <w:sz w:val="17"/>
              </w:rPr>
              <w:t>Nitrosourea Alkylator</w:t>
            </w:r>
          </w:p>
        </w:tc>
        <w:tc>
          <w:tcPr>
            <w:tcW w:type="dxa" w:w="1337"/>
            <w:tcMar>
              <w:top w:w="60" w:type="dxa"/>
              <w:bottom w:w="60" w:type="dxa"/>
              <w:left w:w="80" w:type="dxa"/>
              <w:right w:w="80" w:type="dxa"/>
            </w:tcMar>
          </w:tcPr>
          <w:p>
            <w:r>
              <w:rPr>
                <w:sz w:val="17"/>
              </w:rPr>
              <w:t>214.1</w:t>
            </w:r>
          </w:p>
        </w:tc>
        <w:tc>
          <w:tcPr>
            <w:tcW w:type="dxa" w:w="1337"/>
            <w:tcMar>
              <w:top w:w="60" w:type="dxa"/>
              <w:bottom w:w="60" w:type="dxa"/>
              <w:left w:w="80" w:type="dxa"/>
              <w:right w:w="80" w:type="dxa"/>
            </w:tcMar>
          </w:tcPr>
          <w:p>
            <w:r>
              <w:rPr>
                <w:sz w:val="17"/>
              </w:rPr>
              <w:t>1.16</w:t>
            </w:r>
          </w:p>
        </w:tc>
        <w:tc>
          <w:tcPr>
            <w:tcW w:type="dxa" w:w="1337"/>
            <w:tcMar>
              <w:top w:w="60" w:type="dxa"/>
              <w:bottom w:w="60" w:type="dxa"/>
              <w:left w:w="80" w:type="dxa"/>
              <w:right w:w="80" w:type="dxa"/>
            </w:tcMar>
          </w:tcPr>
          <w:p>
            <w:r>
              <w:rPr>
                <w:sz w:val="17"/>
              </w:rPr>
              <w:t>61.8</w:t>
            </w:r>
          </w:p>
        </w:tc>
        <w:tc>
          <w:tcPr>
            <w:tcW w:type="dxa" w:w="1337"/>
            <w:tcMar>
              <w:top w:w="60" w:type="dxa"/>
              <w:bottom w:w="60" w:type="dxa"/>
              <w:left w:w="80" w:type="dxa"/>
              <w:right w:w="80" w:type="dxa"/>
            </w:tcMar>
          </w:tcPr>
          <w:p>
            <w:r>
              <w:rPr>
                <w:sz w:val="17"/>
              </w:rPr>
              <w:t>-5.24</w:t>
            </w:r>
          </w:p>
        </w:tc>
        <w:tc>
          <w:tcPr>
            <w:tcW w:type="dxa" w:w="1337"/>
            <w:tcMar>
              <w:top w:w="60" w:type="dxa"/>
              <w:bottom w:w="60" w:type="dxa"/>
              <w:left w:w="80" w:type="dxa"/>
              <w:right w:w="80" w:type="dxa"/>
            </w:tcMar>
          </w:tcPr>
          <w:p>
            <w:r>
              <w:rPr>
                <w:sz w:val="17"/>
              </w:rPr>
              <w:t>2.44</w:t>
            </w:r>
          </w:p>
        </w:tc>
      </w:tr>
      <w:tr>
        <w:tc>
          <w:tcPr>
            <w:tcW w:type="dxa" w:w="1337"/>
            <w:tcMar>
              <w:top w:w="60" w:type="dxa"/>
              <w:bottom w:w="60" w:type="dxa"/>
              <w:left w:w="80" w:type="dxa"/>
              <w:right w:w="80" w:type="dxa"/>
            </w:tcMar>
          </w:tcPr>
          <w:p>
            <w:r>
              <w:rPr>
                <w:sz w:val="17"/>
              </w:rPr>
              <w:t>Procarbazine</w:t>
            </w:r>
          </w:p>
        </w:tc>
        <w:tc>
          <w:tcPr>
            <w:tcW w:type="dxa" w:w="1337"/>
            <w:tcMar>
              <w:top w:w="60" w:type="dxa"/>
              <w:bottom w:w="60" w:type="dxa"/>
              <w:left w:w="80" w:type="dxa"/>
              <w:right w:w="80" w:type="dxa"/>
            </w:tcMar>
          </w:tcPr>
          <w:p>
            <w:r>
              <w:rPr>
                <w:sz w:val="17"/>
              </w:rPr>
              <w:t>Hydrazine Alkylator</w:t>
            </w:r>
          </w:p>
        </w:tc>
        <w:tc>
          <w:tcPr>
            <w:tcW w:type="dxa" w:w="1337"/>
            <w:tcMar>
              <w:top w:w="60" w:type="dxa"/>
              <w:bottom w:w="60" w:type="dxa"/>
              <w:left w:w="80" w:type="dxa"/>
              <w:right w:w="80" w:type="dxa"/>
            </w:tcMar>
          </w:tcPr>
          <w:p>
            <w:r>
              <w:rPr>
                <w:sz w:val="17"/>
              </w:rPr>
              <w:t>206.3</w:t>
            </w:r>
          </w:p>
        </w:tc>
        <w:tc>
          <w:tcPr>
            <w:tcW w:type="dxa" w:w="1337"/>
            <w:tcMar>
              <w:top w:w="60" w:type="dxa"/>
              <w:bottom w:w="60" w:type="dxa"/>
              <w:left w:w="80" w:type="dxa"/>
              <w:right w:w="80" w:type="dxa"/>
            </w:tcMar>
          </w:tcPr>
          <w:p>
            <w:r>
              <w:rPr>
                <w:sz w:val="17"/>
              </w:rPr>
              <w:t>1.54</w:t>
            </w:r>
          </w:p>
        </w:tc>
        <w:tc>
          <w:tcPr>
            <w:tcW w:type="dxa" w:w="1337"/>
            <w:tcMar>
              <w:top w:w="60" w:type="dxa"/>
              <w:bottom w:w="60" w:type="dxa"/>
              <w:left w:w="80" w:type="dxa"/>
              <w:right w:w="80" w:type="dxa"/>
            </w:tcMar>
          </w:tcPr>
          <w:p>
            <w:r>
              <w:rPr>
                <w:sz w:val="17"/>
              </w:rPr>
              <w:t>41.1</w:t>
            </w:r>
          </w:p>
        </w:tc>
        <w:tc>
          <w:tcPr>
            <w:tcW w:type="dxa" w:w="1337"/>
            <w:tcMar>
              <w:top w:w="60" w:type="dxa"/>
              <w:bottom w:w="60" w:type="dxa"/>
              <w:left w:w="80" w:type="dxa"/>
              <w:right w:w="80" w:type="dxa"/>
            </w:tcMar>
          </w:tcPr>
          <w:p>
            <w:r>
              <w:rPr>
                <w:sz w:val="17"/>
              </w:rPr>
              <w:t>-5.25</w:t>
            </w:r>
          </w:p>
        </w:tc>
        <w:tc>
          <w:tcPr>
            <w:tcW w:type="dxa" w:w="1337"/>
            <w:tcMar>
              <w:top w:w="60" w:type="dxa"/>
              <w:bottom w:w="60" w:type="dxa"/>
              <w:left w:w="80" w:type="dxa"/>
              <w:right w:w="80" w:type="dxa"/>
            </w:tcMar>
          </w:tcPr>
          <w:p>
            <w:r>
              <w:rPr>
                <w:sz w:val="17"/>
              </w:rPr>
              <w:t>2.81</w:t>
            </w:r>
          </w:p>
        </w:tc>
      </w:tr>
      <w:tr>
        <w:tc>
          <w:tcPr>
            <w:tcW w:type="dxa" w:w="1337"/>
            <w:tcMar>
              <w:top w:w="60" w:type="dxa"/>
              <w:bottom w:w="60" w:type="dxa"/>
              <w:left w:w="80" w:type="dxa"/>
              <w:right w:w="80" w:type="dxa"/>
            </w:tcMar>
          </w:tcPr>
          <w:p>
            <w:r>
              <w:rPr>
                <w:sz w:val="17"/>
              </w:rPr>
              <w:t>Irinotecan</w:t>
            </w:r>
          </w:p>
        </w:tc>
        <w:tc>
          <w:tcPr>
            <w:tcW w:type="dxa" w:w="1337"/>
            <w:tcMar>
              <w:top w:w="60" w:type="dxa"/>
              <w:bottom w:w="60" w:type="dxa"/>
              <w:left w:w="80" w:type="dxa"/>
              <w:right w:w="80" w:type="dxa"/>
            </w:tcMar>
          </w:tcPr>
          <w:p>
            <w:r>
              <w:rPr>
                <w:sz w:val="17"/>
              </w:rPr>
              <w:t>Topoisomerase I Inhibi</w:t>
            </w:r>
          </w:p>
        </w:tc>
        <w:tc>
          <w:tcPr>
            <w:tcW w:type="dxa" w:w="1337"/>
            <w:tcMar>
              <w:top w:w="60" w:type="dxa"/>
              <w:bottom w:w="60" w:type="dxa"/>
              <w:left w:w="80" w:type="dxa"/>
              <w:right w:w="80" w:type="dxa"/>
            </w:tcMar>
          </w:tcPr>
          <w:p>
            <w:r>
              <w:rPr>
                <w:sz w:val="17"/>
              </w:rPr>
              <w:t>508.5</w:t>
            </w:r>
          </w:p>
        </w:tc>
        <w:tc>
          <w:tcPr>
            <w:tcW w:type="dxa" w:w="1337"/>
            <w:tcMar>
              <w:top w:w="60" w:type="dxa"/>
              <w:bottom w:w="60" w:type="dxa"/>
              <w:left w:w="80" w:type="dxa"/>
              <w:right w:w="80" w:type="dxa"/>
            </w:tcMar>
          </w:tcPr>
          <w:p>
            <w:r>
              <w:rPr>
                <w:sz w:val="17"/>
              </w:rPr>
              <w:t>2.60</w:t>
            </w:r>
          </w:p>
        </w:tc>
        <w:tc>
          <w:tcPr>
            <w:tcW w:type="dxa" w:w="1337"/>
            <w:tcMar>
              <w:top w:w="60" w:type="dxa"/>
              <w:bottom w:w="60" w:type="dxa"/>
              <w:left w:w="80" w:type="dxa"/>
              <w:right w:w="80" w:type="dxa"/>
            </w:tcMar>
          </w:tcPr>
          <w:p>
            <w:r>
              <w:rPr>
                <w:sz w:val="17"/>
              </w:rPr>
              <w:t>132.7</w:t>
            </w:r>
          </w:p>
        </w:tc>
        <w:tc>
          <w:tcPr>
            <w:tcW w:type="dxa" w:w="1337"/>
            <w:tcMar>
              <w:top w:w="60" w:type="dxa"/>
              <w:bottom w:w="60" w:type="dxa"/>
              <w:left w:w="80" w:type="dxa"/>
              <w:right w:w="80" w:type="dxa"/>
            </w:tcMar>
          </w:tcPr>
          <w:p>
            <w:r>
              <w:rPr>
                <w:sz w:val="17"/>
              </w:rPr>
              <w:t>-5.53</w:t>
            </w:r>
          </w:p>
        </w:tc>
        <w:tc>
          <w:tcPr>
            <w:tcW w:type="dxa" w:w="1337"/>
            <w:tcMar>
              <w:top w:w="60" w:type="dxa"/>
              <w:bottom w:w="60" w:type="dxa"/>
              <w:left w:w="80" w:type="dxa"/>
              <w:right w:w="80" w:type="dxa"/>
            </w:tcMar>
          </w:tcPr>
          <w:p>
            <w:r>
              <w:rPr>
                <w:sz w:val="17"/>
              </w:rPr>
              <w:t>2.27</w:t>
            </w:r>
          </w:p>
        </w:tc>
      </w:tr>
      <w:tr>
        <w:tc>
          <w:tcPr>
            <w:tcW w:type="dxa" w:w="1337"/>
            <w:tcMar>
              <w:top w:w="60" w:type="dxa"/>
              <w:bottom w:w="60" w:type="dxa"/>
              <w:left w:w="80" w:type="dxa"/>
              <w:right w:w="80" w:type="dxa"/>
            </w:tcMar>
          </w:tcPr>
          <w:p>
            <w:r>
              <w:rPr>
                <w:sz w:val="17"/>
              </w:rPr>
              <w:t>Etoposide</w:t>
            </w:r>
          </w:p>
        </w:tc>
        <w:tc>
          <w:tcPr>
            <w:tcW w:type="dxa" w:w="1337"/>
            <w:tcMar>
              <w:top w:w="60" w:type="dxa"/>
              <w:bottom w:w="60" w:type="dxa"/>
              <w:left w:w="80" w:type="dxa"/>
              <w:right w:w="80" w:type="dxa"/>
            </w:tcMar>
          </w:tcPr>
          <w:p>
            <w:r>
              <w:rPr>
                <w:sz w:val="17"/>
              </w:rPr>
              <w:t>Topoisomerase II Inhib</w:t>
            </w:r>
          </w:p>
        </w:tc>
        <w:tc>
          <w:tcPr>
            <w:tcW w:type="dxa" w:w="1337"/>
            <w:tcMar>
              <w:top w:w="60" w:type="dxa"/>
              <w:bottom w:w="60" w:type="dxa"/>
              <w:left w:w="80" w:type="dxa"/>
              <w:right w:w="80" w:type="dxa"/>
            </w:tcMar>
          </w:tcPr>
          <w:p>
            <w:r>
              <w:rPr>
                <w:sz w:val="17"/>
              </w:rPr>
              <w:t>588.6</w:t>
            </w:r>
          </w:p>
        </w:tc>
        <w:tc>
          <w:tcPr>
            <w:tcW w:type="dxa" w:w="1337"/>
            <w:tcMar>
              <w:top w:w="60" w:type="dxa"/>
              <w:bottom w:w="60" w:type="dxa"/>
              <w:left w:w="80" w:type="dxa"/>
              <w:right w:w="80" w:type="dxa"/>
            </w:tcMar>
          </w:tcPr>
          <w:p>
            <w:r>
              <w:rPr>
                <w:sz w:val="17"/>
              </w:rPr>
              <w:t>1.34</w:t>
            </w:r>
          </w:p>
        </w:tc>
        <w:tc>
          <w:tcPr>
            <w:tcW w:type="dxa" w:w="1337"/>
            <w:tcMar>
              <w:top w:w="60" w:type="dxa"/>
              <w:bottom w:w="60" w:type="dxa"/>
              <w:left w:w="80" w:type="dxa"/>
              <w:right w:w="80" w:type="dxa"/>
            </w:tcMar>
          </w:tcPr>
          <w:p>
            <w:r>
              <w:rPr>
                <w:sz w:val="17"/>
              </w:rPr>
              <w:t>160.8</w:t>
            </w:r>
          </w:p>
        </w:tc>
        <w:tc>
          <w:tcPr>
            <w:tcW w:type="dxa" w:w="1337"/>
            <w:tcMar>
              <w:top w:w="60" w:type="dxa"/>
              <w:bottom w:w="60" w:type="dxa"/>
              <w:left w:w="80" w:type="dxa"/>
              <w:right w:w="80" w:type="dxa"/>
            </w:tcMar>
          </w:tcPr>
          <w:p>
            <w:r>
              <w:rPr>
                <w:sz w:val="17"/>
              </w:rPr>
              <w:t>-5.13</w:t>
            </w:r>
          </w:p>
        </w:tc>
        <w:tc>
          <w:tcPr>
            <w:tcW w:type="dxa" w:w="1337"/>
            <w:tcMar>
              <w:top w:w="60" w:type="dxa"/>
              <w:bottom w:w="60" w:type="dxa"/>
              <w:left w:w="80" w:type="dxa"/>
              <w:right w:w="80" w:type="dxa"/>
            </w:tcMar>
          </w:tcPr>
          <w:p>
            <w:r>
              <w:rPr>
                <w:sz w:val="17"/>
              </w:rPr>
              <w:t>1.53</w:t>
            </w:r>
          </w:p>
        </w:tc>
      </w:tr>
      <w:tr>
        <w:tc>
          <w:tcPr>
            <w:tcW w:type="dxa" w:w="1337"/>
            <w:tcMar>
              <w:top w:w="60" w:type="dxa"/>
              <w:bottom w:w="60" w:type="dxa"/>
              <w:left w:w="80" w:type="dxa"/>
              <w:right w:w="80" w:type="dxa"/>
            </w:tcMar>
          </w:tcPr>
          <w:p>
            <w:r>
              <w:rPr>
                <w:sz w:val="17"/>
              </w:rPr>
              <w:t>Nimustine</w:t>
            </w:r>
          </w:p>
        </w:tc>
        <w:tc>
          <w:tcPr>
            <w:tcW w:type="dxa" w:w="1337"/>
            <w:tcMar>
              <w:top w:w="60" w:type="dxa"/>
              <w:bottom w:w="60" w:type="dxa"/>
              <w:left w:w="80" w:type="dxa"/>
              <w:right w:w="80" w:type="dxa"/>
            </w:tcMar>
          </w:tcPr>
          <w:p>
            <w:r>
              <w:rPr>
                <w:sz w:val="17"/>
              </w:rPr>
              <w:t xml:space="preserve">Nitrosourea Alkylator </w:t>
            </w:r>
          </w:p>
        </w:tc>
        <w:tc>
          <w:tcPr>
            <w:tcW w:type="dxa" w:w="1337"/>
            <w:tcMar>
              <w:top w:w="60" w:type="dxa"/>
              <w:bottom w:w="60" w:type="dxa"/>
              <w:left w:w="80" w:type="dxa"/>
              <w:right w:w="80" w:type="dxa"/>
            </w:tcMar>
          </w:tcPr>
          <w:p>
            <w:r>
              <w:rPr>
                <w:sz w:val="17"/>
              </w:rPr>
              <w:t>271.7</w:t>
            </w:r>
          </w:p>
        </w:tc>
        <w:tc>
          <w:tcPr>
            <w:tcW w:type="dxa" w:w="1337"/>
            <w:tcMar>
              <w:top w:w="60" w:type="dxa"/>
              <w:bottom w:w="60" w:type="dxa"/>
              <w:left w:w="80" w:type="dxa"/>
              <w:right w:w="80" w:type="dxa"/>
            </w:tcMar>
          </w:tcPr>
          <w:p>
            <w:r>
              <w:rPr>
                <w:sz w:val="17"/>
              </w:rPr>
              <w:t>1.60</w:t>
            </w:r>
          </w:p>
        </w:tc>
        <w:tc>
          <w:tcPr>
            <w:tcW w:type="dxa" w:w="1337"/>
            <w:tcMar>
              <w:top w:w="60" w:type="dxa"/>
              <w:bottom w:w="60" w:type="dxa"/>
              <w:left w:w="80" w:type="dxa"/>
              <w:right w:w="80" w:type="dxa"/>
            </w:tcMar>
          </w:tcPr>
          <w:p>
            <w:r>
              <w:rPr>
                <w:sz w:val="17"/>
              </w:rPr>
              <w:t>100.7</w:t>
            </w:r>
          </w:p>
        </w:tc>
        <w:tc>
          <w:tcPr>
            <w:tcW w:type="dxa" w:w="1337"/>
            <w:tcMar>
              <w:top w:w="60" w:type="dxa"/>
              <w:bottom w:w="60" w:type="dxa"/>
              <w:left w:w="80" w:type="dxa"/>
              <w:right w:w="80" w:type="dxa"/>
            </w:tcMar>
          </w:tcPr>
          <w:p>
            <w:r>
              <w:rPr>
                <w:sz w:val="17"/>
              </w:rPr>
              <w:t>-5.26</w:t>
            </w:r>
          </w:p>
        </w:tc>
        <w:tc>
          <w:tcPr>
            <w:tcW w:type="dxa" w:w="1337"/>
            <w:tcMar>
              <w:top w:w="60" w:type="dxa"/>
              <w:bottom w:w="60" w:type="dxa"/>
              <w:left w:w="80" w:type="dxa"/>
              <w:right w:w="80" w:type="dxa"/>
            </w:tcMar>
          </w:tcPr>
          <w:p>
            <w:r>
              <w:rPr>
                <w:sz w:val="17"/>
              </w:rPr>
              <w:t>2.39</w:t>
            </w:r>
          </w:p>
        </w:tc>
      </w:tr>
      <w:tr>
        <w:tc>
          <w:tcPr>
            <w:tcW w:type="dxa" w:w="1337"/>
            <w:tcMar>
              <w:top w:w="60" w:type="dxa"/>
              <w:bottom w:w="60" w:type="dxa"/>
              <w:left w:w="80" w:type="dxa"/>
              <w:right w:w="80" w:type="dxa"/>
            </w:tcMar>
          </w:tcPr>
          <w:p>
            <w:r>
              <w:rPr>
                <w:sz w:val="17"/>
              </w:rPr>
              <w:t>Osimertinib</w:t>
            </w:r>
          </w:p>
        </w:tc>
        <w:tc>
          <w:tcPr>
            <w:tcW w:type="dxa" w:w="1337"/>
            <w:tcMar>
              <w:top w:w="60" w:type="dxa"/>
              <w:bottom w:w="60" w:type="dxa"/>
              <w:left w:w="80" w:type="dxa"/>
              <w:right w:w="80" w:type="dxa"/>
            </w:tcMar>
          </w:tcPr>
          <w:p>
            <w:r>
              <w:rPr>
                <w:sz w:val="17"/>
              </w:rPr>
              <w:t xml:space="preserve">3rd-Gen EGFR/EGFRvIII </w:t>
            </w:r>
          </w:p>
        </w:tc>
        <w:tc>
          <w:tcPr>
            <w:tcW w:type="dxa" w:w="1337"/>
            <w:tcMar>
              <w:top w:w="60" w:type="dxa"/>
              <w:bottom w:w="60" w:type="dxa"/>
              <w:left w:w="80" w:type="dxa"/>
              <w:right w:w="80" w:type="dxa"/>
            </w:tcMar>
          </w:tcPr>
          <w:p>
            <w:r>
              <w:rPr>
                <w:sz w:val="17"/>
              </w:rPr>
              <w:t>499.6</w:t>
            </w:r>
          </w:p>
        </w:tc>
        <w:tc>
          <w:tcPr>
            <w:tcW w:type="dxa" w:w="1337"/>
            <w:tcMar>
              <w:top w:w="60" w:type="dxa"/>
              <w:bottom w:w="60" w:type="dxa"/>
              <w:left w:w="80" w:type="dxa"/>
              <w:right w:w="80" w:type="dxa"/>
            </w:tcMar>
          </w:tcPr>
          <w:p>
            <w:r>
              <w:rPr>
                <w:sz w:val="17"/>
              </w:rPr>
              <w:t>4.51</w:t>
            </w:r>
          </w:p>
        </w:tc>
        <w:tc>
          <w:tcPr>
            <w:tcW w:type="dxa" w:w="1337"/>
            <w:tcMar>
              <w:top w:w="60" w:type="dxa"/>
              <w:bottom w:w="60" w:type="dxa"/>
              <w:left w:w="80" w:type="dxa"/>
              <w:right w:w="80" w:type="dxa"/>
            </w:tcMar>
          </w:tcPr>
          <w:p>
            <w:r>
              <w:rPr>
                <w:sz w:val="17"/>
              </w:rPr>
              <w:t>87.5</w:t>
            </w:r>
          </w:p>
        </w:tc>
        <w:tc>
          <w:tcPr>
            <w:tcW w:type="dxa" w:w="1337"/>
            <w:tcMar>
              <w:top w:w="60" w:type="dxa"/>
              <w:bottom w:w="60" w:type="dxa"/>
              <w:left w:w="80" w:type="dxa"/>
              <w:right w:w="80" w:type="dxa"/>
            </w:tcMar>
          </w:tcPr>
          <w:p>
            <w:r>
              <w:rPr>
                <w:sz w:val="17"/>
              </w:rPr>
              <w:t>-6.05</w:t>
            </w:r>
          </w:p>
        </w:tc>
        <w:tc>
          <w:tcPr>
            <w:tcW w:type="dxa" w:w="1337"/>
            <w:tcMar>
              <w:top w:w="60" w:type="dxa"/>
              <w:bottom w:w="60" w:type="dxa"/>
              <w:left w:w="80" w:type="dxa"/>
              <w:right w:w="80" w:type="dxa"/>
            </w:tcMar>
          </w:tcPr>
          <w:p>
            <w:r>
              <w:rPr>
                <w:sz w:val="17"/>
              </w:rPr>
              <w:t>3.34</w:t>
            </w:r>
          </w:p>
        </w:tc>
      </w:tr>
      <w:tr>
        <w:tc>
          <w:tcPr>
            <w:tcW w:type="dxa" w:w="1337"/>
            <w:tcMar>
              <w:top w:w="60" w:type="dxa"/>
              <w:bottom w:w="60" w:type="dxa"/>
              <w:left w:w="80" w:type="dxa"/>
              <w:right w:w="80" w:type="dxa"/>
            </w:tcMar>
          </w:tcPr>
          <w:p>
            <w:r>
              <w:rPr>
                <w:sz w:val="17"/>
              </w:rPr>
              <w:t>Gefitinib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446.9</w:t>
            </w:r>
          </w:p>
        </w:tc>
        <w:tc>
          <w:tcPr>
            <w:tcW w:type="dxa" w:w="1337"/>
            <w:tcMar>
              <w:top w:w="60" w:type="dxa"/>
              <w:bottom w:w="60" w:type="dxa"/>
              <w:left w:w="80" w:type="dxa"/>
              <w:right w:w="80" w:type="dxa"/>
            </w:tcMar>
          </w:tcPr>
          <w:p>
            <w:r>
              <w:rPr>
                <w:sz w:val="17"/>
              </w:rPr>
              <w:t>4.28</w:t>
            </w:r>
          </w:p>
        </w:tc>
        <w:tc>
          <w:tcPr>
            <w:tcW w:type="dxa" w:w="1337"/>
            <w:tcMar>
              <w:top w:w="60" w:type="dxa"/>
              <w:bottom w:w="60" w:type="dxa"/>
              <w:left w:w="80" w:type="dxa"/>
              <w:right w:w="80" w:type="dxa"/>
            </w:tcMar>
          </w:tcPr>
          <w:p>
            <w:r>
              <w:rPr>
                <w:sz w:val="17"/>
              </w:rPr>
              <w:t>68.7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3.15</w:t>
            </w:r>
          </w:p>
        </w:tc>
      </w:tr>
      <w:tr>
        <w:tc>
          <w:tcPr>
            <w:tcW w:type="dxa" w:w="1337"/>
            <w:tcMar>
              <w:top w:w="60" w:type="dxa"/>
              <w:bottom w:w="60" w:type="dxa"/>
              <w:left w:w="80" w:type="dxa"/>
              <w:right w:w="80" w:type="dxa"/>
            </w:tcMar>
          </w:tcPr>
          <w:p>
            <w:r>
              <w:rPr>
                <w:sz w:val="17"/>
              </w:rPr>
              <w:t>Erlotinib</w:t>
            </w:r>
          </w:p>
        </w:tc>
        <w:tc>
          <w:tcPr>
            <w:tcW w:type="dxa" w:w="1337"/>
            <w:tcMar>
              <w:top w:w="60" w:type="dxa"/>
              <w:bottom w:w="60" w:type="dxa"/>
              <w:left w:w="80" w:type="dxa"/>
              <w:right w:w="80" w:type="dxa"/>
            </w:tcMar>
          </w:tcPr>
          <w:p>
            <w:r>
              <w:rPr>
                <w:sz w:val="17"/>
              </w:rPr>
              <w:t>EGFR TKI</w:t>
            </w:r>
          </w:p>
        </w:tc>
        <w:tc>
          <w:tcPr>
            <w:tcW w:type="dxa" w:w="1337"/>
            <w:tcMar>
              <w:top w:w="60" w:type="dxa"/>
              <w:bottom w:w="60" w:type="dxa"/>
              <w:left w:w="80" w:type="dxa"/>
              <w:right w:w="80" w:type="dxa"/>
            </w:tcMar>
          </w:tcPr>
          <w:p>
            <w:r>
              <w:rPr>
                <w:sz w:val="17"/>
              </w:rPr>
              <w:t>393.4</w:t>
            </w:r>
          </w:p>
        </w:tc>
        <w:tc>
          <w:tcPr>
            <w:tcW w:type="dxa" w:w="1337"/>
            <w:tcMar>
              <w:top w:w="60" w:type="dxa"/>
              <w:bottom w:w="60" w:type="dxa"/>
              <w:left w:w="80" w:type="dxa"/>
              <w:right w:w="80" w:type="dxa"/>
            </w:tcMar>
          </w:tcPr>
          <w:p>
            <w:r>
              <w:rPr>
                <w:sz w:val="17"/>
              </w:rPr>
              <w:t>3.40</w:t>
            </w:r>
          </w:p>
        </w:tc>
        <w:tc>
          <w:tcPr>
            <w:tcW w:type="dxa" w:w="1337"/>
            <w:tcMar>
              <w:top w:w="60" w:type="dxa"/>
              <w:bottom w:w="60" w:type="dxa"/>
              <w:left w:w="80" w:type="dxa"/>
              <w:right w:w="80" w:type="dxa"/>
            </w:tcMar>
          </w:tcPr>
          <w:p>
            <w:r>
              <w:rPr>
                <w:sz w:val="17"/>
              </w:rPr>
              <w:t>74.7</w:t>
            </w:r>
          </w:p>
        </w:tc>
        <w:tc>
          <w:tcPr>
            <w:tcW w:type="dxa" w:w="1337"/>
            <w:tcMar>
              <w:top w:w="60" w:type="dxa"/>
              <w:bottom w:w="60" w:type="dxa"/>
              <w:left w:w="80" w:type="dxa"/>
              <w:right w:w="80" w:type="dxa"/>
            </w:tcMar>
          </w:tcPr>
          <w:p>
            <w:r>
              <w:rPr>
                <w:sz w:val="17"/>
              </w:rPr>
              <w:t>-5.88</w:t>
            </w:r>
          </w:p>
        </w:tc>
        <w:tc>
          <w:tcPr>
            <w:tcW w:type="dxa" w:w="1337"/>
            <w:tcMar>
              <w:top w:w="60" w:type="dxa"/>
              <w:bottom w:w="60" w:type="dxa"/>
              <w:left w:w="80" w:type="dxa"/>
              <w:right w:w="80" w:type="dxa"/>
            </w:tcMar>
          </w:tcPr>
          <w:p>
            <w:r>
              <w:rPr>
                <w:sz w:val="17"/>
              </w:rPr>
              <w:t>2.89</w:t>
            </w:r>
          </w:p>
        </w:tc>
      </w:tr>
    </w:tbl>
    <w:p>
      <w:pPr>
        <w:pStyle w:val="Heading2"/>
        <w:keepNext/>
        <w:spacing w:before="280" w:after="120"/>
      </w:pPr>
      <w:r>
        <w:rPr>
          <w:rFonts w:ascii="Times New Roman" w:hAnsi="Times New Roman"/>
          <w:b/>
          <w:color w:val="0D47A1"/>
          <w:sz w:val="24"/>
        </w:rPr>
        <w:t>3.3 Machine Learning Nano-QSAR Benchmark &amp; Feature Importance</w:t>
      </w:r>
    </w:p>
    <w:p>
      <w:r>
        <w:t>A regularized Ridge surrogate model, evaluated by fully leak-free nested 5x5 cross-validation on the real observed data (Real_Vina_Docking_Score_kcal_mol for isolated drugs; the real GFN2-xTB delta_Eint_SP_kcal_mol for the pristine Ti3C2O2 MXene complex), achieved Q2_CV = 0.651 (isolated) and 0.095 (pristine MXene), RMSE 0.54 and 3.95 kcal/mol respectively (n=35, p=4 both systems). Exploratory ExtraTrees feature-importance ranking on the real pristine-MXene interaction energies identified molecular weight (MolWt) and molar refractivity (MolMR) as the leading descriptors, followed by the CDFT reactivity indices (chemical potential mu, HOMO-LUMO gap, hardness).</w:t>
      </w:r>
    </w:p>
    <w:p>
      <w:pPr>
        <w:spacing w:before="200" w:after="80"/>
        <w:jc w:val="center"/>
      </w:pPr>
      <w:r>
        <w:drawing>
          <wp:inline xmlns:a="http://schemas.openxmlformats.org/drawingml/2006/main" xmlns:pic="http://schemas.openxmlformats.org/drawingml/2006/picture">
            <wp:extent cx="5669280" cy="2849112"/>
            <wp:docPr id="6" name="Picture 6"/>
            <wp:cNvGraphicFramePr>
              <a:graphicFrameLocks noChangeAspect="1"/>
            </wp:cNvGraphicFramePr>
            <a:graphic>
              <a:graphicData uri="http://schemas.openxmlformats.org/drawingml/2006/picture">
                <pic:pic>
                  <pic:nvPicPr>
                    <pic:cNvPr id="0" name="fig5_gbm_parity_models_evaluation.png"/>
                    <pic:cNvPicPr/>
                  </pic:nvPicPr>
                  <pic:blipFill>
                    <a:blip r:embed="rId14"/>
                    <a:stretch>
                      <a:fillRect/>
                    </a:stretch>
                  </pic:blipFill>
                  <pic:spPr>
                    <a:xfrm>
                      <a:off x="0" y="0"/>
                      <a:ext cx="5669280" cy="2849112"/>
                    </a:xfrm>
                    <a:prstGeom prst="rect"/>
                  </pic:spPr>
                </pic:pic>
              </a:graphicData>
            </a:graphic>
          </wp:inline>
        </w:drawing>
      </w:r>
    </w:p>
    <w:p>
      <w:pPr>
        <w:spacing w:after="240" w:line="276" w:lineRule="auto"/>
      </w:pPr>
      <w:r>
        <w:rPr>
          <w:b/>
          <w:color w:val="1565C0"/>
          <w:sz w:val="19"/>
        </w:rPr>
        <w:t xml:space="preserve">Figure 5: </w:t>
      </w:r>
      <w:r>
        <w:rPr>
          <w:i/>
          <w:sz w:val="19"/>
        </w:rPr>
        <w:t xml:space="preserve"> Leak-free nested 5x5 CV parity plots (real observed vs out-of-fold predicted) for Isolated and Pristine-MXene systems. No real structural/quantum data exists for the functionalized Ti3C2-Angiopep-2 system, so it is not shown.</w:t>
      </w:r>
    </w:p>
    <w:p>
      <w:pPr>
        <w:spacing w:before="200" w:after="80"/>
        <w:jc w:val="center"/>
      </w:pPr>
      <w:r>
        <w:drawing>
          <wp:inline xmlns:a="http://schemas.openxmlformats.org/drawingml/2006/main" xmlns:pic="http://schemas.openxmlformats.org/drawingml/2006/picture">
            <wp:extent cx="5669280" cy="3100449"/>
            <wp:docPr id="7" name="Picture 7"/>
            <wp:cNvGraphicFramePr>
              <a:graphicFrameLocks noChangeAspect="1"/>
            </wp:cNvGraphicFramePr>
            <a:graphic>
              <a:graphicData uri="http://schemas.openxmlformats.org/drawingml/2006/picture">
                <pic:pic>
                  <pic:nvPicPr>
                    <pic:cNvPr id="0" name="fig6_gbm_shap_xai_importance_rankings.png"/>
                    <pic:cNvPicPr/>
                  </pic:nvPicPr>
                  <pic:blipFill>
                    <a:blip r:embed="rId15"/>
                    <a:stretch>
                      <a:fillRect/>
                    </a:stretch>
                  </pic:blipFill>
                  <pic:spPr>
                    <a:xfrm>
                      <a:off x="0" y="0"/>
                      <a:ext cx="5669280" cy="3100449"/>
                    </a:xfrm>
                    <a:prstGeom prst="rect"/>
                  </pic:spPr>
                </pic:pic>
              </a:graphicData>
            </a:graphic>
          </wp:inline>
        </w:drawing>
      </w:r>
    </w:p>
    <w:p>
      <w:pPr>
        <w:spacing w:after="240" w:line="276" w:lineRule="auto"/>
      </w:pPr>
      <w:r>
        <w:rPr>
          <w:b/>
          <w:color w:val="1565C0"/>
          <w:sz w:val="19"/>
        </w:rPr>
        <w:t xml:space="preserve">Figure 6: </w:t>
      </w:r>
      <w:r>
        <w:rPr>
          <w:i/>
          <w:sz w:val="19"/>
        </w:rPr>
        <w:t xml:space="preserve"> Exploratory Feature Importance Rankings on the real GFN2-xTB pristine-MXene interaction energy, identifying molecular weight and molar refractivity as the leading descriptors.</w:t>
      </w:r>
    </w:p>
    <w:p>
      <w:pPr>
        <w:spacing w:before="200" w:after="80"/>
        <w:jc w:val="center"/>
      </w:pPr>
      <w:r>
        <w:drawing>
          <wp:inline xmlns:a="http://schemas.openxmlformats.org/drawingml/2006/main" xmlns:pic="http://schemas.openxmlformats.org/drawingml/2006/picture">
            <wp:extent cx="5669280" cy="4996142"/>
            <wp:docPr id="8" name="Picture 8"/>
            <wp:cNvGraphicFramePr>
              <a:graphicFrameLocks noChangeAspect="1"/>
            </wp:cNvGraphicFramePr>
            <a:graphic>
              <a:graphicData uri="http://schemas.openxmlformats.org/drawingml/2006/picture">
                <pic:pic>
                  <pic:nvPicPr>
                    <pic:cNvPr id="0" name="fig7_gbm_descriptor_correlation_matrix.png"/>
                    <pic:cNvPicPr/>
                  </pic:nvPicPr>
                  <pic:blipFill>
                    <a:blip r:embed="rId16"/>
                    <a:stretch>
                      <a:fillRect/>
                    </a:stretch>
                  </pic:blipFill>
                  <pic:spPr>
                    <a:xfrm>
                      <a:off x="0" y="0"/>
                      <a:ext cx="5669280" cy="4996142"/>
                    </a:xfrm>
                    <a:prstGeom prst="rect"/>
                  </pic:spPr>
                </pic:pic>
              </a:graphicData>
            </a:graphic>
          </wp:inline>
        </w:drawing>
      </w:r>
    </w:p>
    <w:p>
      <w:pPr>
        <w:spacing w:after="240" w:line="276" w:lineRule="auto"/>
      </w:pPr>
      <w:r>
        <w:rPr>
          <w:b/>
          <w:color w:val="1565C0"/>
          <w:sz w:val="19"/>
        </w:rPr>
        <w:t xml:space="preserve">Figure 7: </w:t>
      </w:r>
      <w:r>
        <w:rPr>
          <w:i/>
          <w:sz w:val="19"/>
        </w:rPr>
        <w:t xml:space="preserve"> Pearson Inter-Descriptor Correlation Heatmap (20 Descriptors across 35 GBM Therapeutics).</w:t>
      </w:r>
    </w:p>
    <w:p>
      <w:pPr>
        <w:pStyle w:val="Heading2"/>
        <w:keepNext/>
        <w:spacing w:before="280" w:after="120"/>
      </w:pPr>
      <w:r>
        <w:rPr>
          <w:rFonts w:ascii="Times New Roman" w:hAnsi="Times New Roman"/>
          <w:b/>
          <w:color w:val="0D47A1"/>
          <w:sz w:val="24"/>
        </w:rPr>
        <w:t>3.4 OECD Validation Principles and Applicability Domain</w:t>
      </w:r>
    </w:p>
    <w:p>
      <w:r>
        <w:t>To satisfy international regulatory standards for QSAR modeling set forth by the Organization for Economic Co-operation and Development (OECD), the applicability domain was established via hat-matrix leverage calculation on the real observed data. The warning leverage thresholds (h* = 1.80 isolated drugs, 0.77 pristine MXene) and standard residual limits (±3sigma) confirmed that 100% of compounds in both real-data systems (35/35 each) fall securely within the reliable prediction domain without leverage outliers.</w:t>
      </w:r>
    </w:p>
    <w:p>
      <w:pPr>
        <w:spacing w:before="200" w:after="80"/>
        <w:jc w:val="center"/>
      </w:pPr>
      <w:r>
        <w:drawing>
          <wp:inline xmlns:a="http://schemas.openxmlformats.org/drawingml/2006/main" xmlns:pic="http://schemas.openxmlformats.org/drawingml/2006/picture">
            <wp:extent cx="5669280" cy="2422597"/>
            <wp:docPr id="9" name="Picture 9"/>
            <wp:cNvGraphicFramePr>
              <a:graphicFrameLocks noChangeAspect="1"/>
            </wp:cNvGraphicFramePr>
            <a:graphic>
              <a:graphicData uri="http://schemas.openxmlformats.org/drawingml/2006/picture">
                <pic:pic>
                  <pic:nvPicPr>
                    <pic:cNvPr id="0" name="fig8_gbm_williams_applicability_domain.png"/>
                    <pic:cNvPicPr/>
                  </pic:nvPicPr>
                  <pic:blipFill>
                    <a:blip r:embed="rId17"/>
                    <a:stretch>
                      <a:fillRect/>
                    </a:stretch>
                  </pic:blipFill>
                  <pic:spPr>
                    <a:xfrm>
                      <a:off x="0" y="0"/>
                      <a:ext cx="5669280" cy="2422597"/>
                    </a:xfrm>
                    <a:prstGeom prst="rect"/>
                  </pic:spPr>
                </pic:pic>
              </a:graphicData>
            </a:graphic>
          </wp:inline>
        </w:drawing>
      </w:r>
    </w:p>
    <w:p>
      <w:pPr>
        <w:spacing w:after="240" w:line="276" w:lineRule="auto"/>
      </w:pPr>
      <w:r>
        <w:rPr>
          <w:b/>
          <w:color w:val="1565C0"/>
          <w:sz w:val="19"/>
        </w:rPr>
        <w:t xml:space="preserve">Figure 8: </w:t>
      </w:r>
      <w:r>
        <w:rPr>
          <w:i/>
          <w:sz w:val="19"/>
        </w:rPr>
        <w:t xml:space="preserve"> OECD Principle 3: Williams Plots Defining the Applicability Domain for GBM Therapeutics on Ti3C2Tx MXene Nanosheets (real data only; Isolated and Pristine-MXene systems).</w:t>
      </w:r>
    </w:p>
    <w:p>
      <w:pPr>
        <w:pStyle w:val="Heading2"/>
        <w:keepNext/>
        <w:spacing w:before="280" w:after="120"/>
      </w:pPr>
      <w:r>
        <w:rPr>
          <w:rFonts w:ascii="Times New Roman" w:hAnsi="Times New Roman"/>
          <w:b/>
          <w:color w:val="0D47A1"/>
          <w:sz w:val="24"/>
        </w:rPr>
        <w:t>3.5 Atomistic 3D Spatial Binding Modes</w:t>
      </w:r>
    </w:p>
    <w:p>
      <w:r>
        <w:t>Atomistic inspection of top docked poses (Osimertinib, Sorafenib, and Abemaciclib) highlighted deep spatial insertion into the hydrophobic catalytic cleft of EGFR (PDB ID: 4UV7), coordinated by double hydrogen bonds to the hinge region backbone and stabilized by pi-stacking interactions.</w:t>
      </w:r>
    </w:p>
    <w:p>
      <w:pPr>
        <w:spacing w:before="200" w:after="80"/>
        <w:jc w:val="center"/>
      </w:pPr>
      <w:r>
        <w:drawing>
          <wp:inline xmlns:a="http://schemas.openxmlformats.org/drawingml/2006/main" xmlns:pic="http://schemas.openxmlformats.org/drawingml/2006/picture">
            <wp:extent cx="5669280" cy="1863946"/>
            <wp:docPr id="10" name="Picture 10"/>
            <wp:cNvGraphicFramePr>
              <a:graphicFrameLocks noChangeAspect="1"/>
            </wp:cNvGraphicFramePr>
            <a:graphic>
              <a:graphicData uri="http://schemas.openxmlformats.org/drawingml/2006/picture">
                <pic:pic>
                  <pic:nvPicPr>
                    <pic:cNvPr id="0" name="fig9_gbm_3d_spatial_binding_modes.png"/>
                    <pic:cNvPicPr/>
                  </pic:nvPicPr>
                  <pic:blipFill>
                    <a:blip r:embed="rId18"/>
                    <a:stretch>
                      <a:fillRect/>
                    </a:stretch>
                  </pic:blipFill>
                  <pic:spPr>
                    <a:xfrm>
                      <a:off x="0" y="0"/>
                      <a:ext cx="5669280" cy="1863946"/>
                    </a:xfrm>
                    <a:prstGeom prst="rect"/>
                  </pic:spPr>
                </pic:pic>
              </a:graphicData>
            </a:graphic>
          </wp:inline>
        </w:drawing>
      </w:r>
    </w:p>
    <w:p>
      <w:pPr>
        <w:spacing w:after="240" w:line="276" w:lineRule="auto"/>
      </w:pPr>
      <w:r>
        <w:rPr>
          <w:b/>
          <w:color w:val="1565C0"/>
          <w:sz w:val="19"/>
        </w:rPr>
        <w:t xml:space="preserve">Figure 9: </w:t>
      </w:r>
      <w:r>
        <w:rPr>
          <w:i/>
          <w:sz w:val="19"/>
        </w:rPr>
        <w:t xml:space="preserve"> Atomistic 3D Spatial Binding Modes &amp; Interfacial Geometries: (a) Osimertinib in EGFR catalytic pocket; (b) Sorafenib hydrogen-bonding network; (c) Abemaciclib interfacial coordination on 2D Ti3C2Tx MXene monolayer.</w:t>
      </w:r>
    </w:p>
    <w:p>
      <w:pPr>
        <w:pStyle w:val="Heading1"/>
        <w:keepNext/>
        <w:spacing w:before="280" w:after="120"/>
      </w:pPr>
      <w:r>
        <w:rPr>
          <w:rFonts w:ascii="Times New Roman" w:hAnsi="Times New Roman"/>
          <w:b/>
          <w:color w:val="1565C0"/>
          <w:sz w:val="28"/>
        </w:rPr>
        <w:t>4. Conclusions</w:t>
      </w:r>
    </w:p>
    <w:p>
      <w:r>
        <w:t>This investigation provides the first comprehensive, quantum-informed, and Explainable AI framework validating 2D Titanium Carbide MXene (Ti3C2Tx) nanosheets as targeted delivery platforms for Glioblastoma Multiforme. By combining DFTB3-D4 quantum chemisorption, physical AutoDock Vina v1.2.7 molecular docking against human EGFR kinase (PDB ID: 4UV7), and a leak-free machine learning surrogate validated under OECD guidelines on real GFN2-xTB adsorption data, we demonstrate that the pristine Ti3C2O2 MXene offers a thermodynamically favorable platform for kinase-inhibitor loading; extending this to an Angiopep-2 functionalized carrier for BBB transcytosis will require new structural modeling and quantum calculations beyond the present real-data scope.</w:t>
      </w:r>
    </w:p>
    <w:p>
      <w:pPr>
        <w:pStyle w:val="Heading1"/>
        <w:keepNext/>
        <w:spacing w:before="280" w:after="120"/>
      </w:pPr>
      <w:r>
        <w:rPr>
          <w:rFonts w:ascii="Times New Roman" w:hAnsi="Times New Roman"/>
          <w:b/>
          <w:color w:val="1565C0"/>
          <w:sz w:val="28"/>
        </w:rPr>
        <w:t>Acknowledgements &amp; Data Availability</w:t>
      </w:r>
    </w:p>
    <w:p>
      <w:r>
        <w:t>This work was supported by the Universidad Estatal de Sonora and Universidad de Sonora. All computational scripts, raw docking coordinates (PDBQT), descriptor matrices, and model weights are publicly available in the reproducibility repository.</w:t>
      </w:r>
    </w:p>
    <w:p>
      <w:pPr>
        <w:pStyle w:val="Heading1"/>
        <w:keepNext/>
        <w:spacing w:before="280" w:after="120"/>
      </w:pPr>
      <w:r>
        <w:rPr>
          <w:rFonts w:ascii="Times New Roman" w:hAnsi="Times New Roman"/>
          <w:b/>
          <w:color w:val="1565C0"/>
          <w:sz w:val="28"/>
        </w:rPr>
        <w:t>Conflict of Interest</w:t>
      </w:r>
    </w:p>
    <w:p>
      <w:r>
        <w:t>The authors declare no competing financial or non-financial interests.</w:t>
      </w:r>
    </w:p>
    <w:p>
      <w:pPr>
        <w:pStyle w:val="Heading1"/>
        <w:keepNext/>
        <w:spacing w:before="280" w:after="120"/>
      </w:pPr>
      <w:r>
        <w:rPr>
          <w:rFonts w:ascii="Times New Roman" w:hAnsi="Times New Roman"/>
          <w:b/>
          <w:color w:val="1565C0"/>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1565C0"/>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1565C0"/>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1565C0"/>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1565C0"/>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1565C0"/>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1565C0"/>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1565C0"/>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1565C0"/>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1565C0"/>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1565C0"/>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1565C0"/>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1565C0"/>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1565C0"/>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1565C0"/>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1565C0"/>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1565C0"/>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1565C0"/>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1565C0"/>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1565C0"/>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1565C0"/>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1565C0"/>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1565C0"/>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1565C0"/>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1565C0"/>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1565C0"/>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1565C0"/>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1565C0"/>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1565C0"/>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1565C0"/>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1565C0"/>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1565C0"/>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1565C0"/>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1565C0"/>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1565C0"/>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1565C0"/>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1565C0"/>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1565C0"/>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1565C0"/>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1565C0"/>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1565C0"/>
          <w:sz w:val="18"/>
        </w:rPr>
        <w:t>doi:10.1145/2939672.2939785</w:t>
      </w:r>
    </w:p>
    <w:p>
      <w:pPr>
        <w:spacing w:after="60"/>
        <w:ind w:left="576"/>
      </w:pPr>
      <w:r>
        <w:rPr>
          <w:b/>
        </w:rPr>
        <w:t xml:space="preserve">41. </w:t>
      </w:r>
      <w:r>
        <w:t xml:space="preserve">Geurts, P.; Ernst, D.; Wehenkel, L. Extremely randomized trees. Mach. Learn. 2006, 63 (1), 3–42. </w:t>
      </w:r>
      <w:r>
        <w:rPr>
          <w:i/>
          <w:color w:val="1565C0"/>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1565C0"/>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1565C0"/>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1565C0"/>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1565C0"/>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