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0082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00822"/>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with a median survival below 15 months, driven by therapeutic resistance and the restrictive physiology of the blood-brain barrier (BBB) [1,3]. Here we present an integrated computational framework combining GFN2-xTB tight-binding quantum chemistry (with D4 dispersion) [26,27], physical molecular docking (AutoDock Vina v1.2.7 [31,32] against the human EGFR kinase domain, PDB ID: 4ZAU, 2.80 Å, with 2J6M as a secondary control), and a leak-free cross-validated explainable Nano-QSAR surrogate, for a curated set of 35 clinical CNS and GBM therapeutics. Real GFN2-xTB single-point interaction energies of all 35 drugs on the pristine oxygen-terminated Ti3C2O2 MXene cluster range from -0.9 to -15.5 kcal/mol. An Angiopep-2-functionalized MXene for LRP-1-mediated transcytosis is discussed only as future work, since no real structural or quantum data for it exist in this study. Docking against EGFR (exploratory; redocking heavy-atom RMSD 5.32 Å) gave Vina scores of -3.96 to -8.94 kcal/mol (mean -7.16), with recurrent contacts at Asp392, His394, Arg427 and Thr391. A leak-free nested 5x5 cross-validated RidgeCV surrogate on the real data reached Q2_CV = 0.65 (isolated descriptors) and 0.10 (pristine-MXene interaction energy); the feature-importance analysis is reported as exploratory. OECD Principle 3 applicability-domain analysis (Williams leverage) places all 35 compounds inside the domain in both real-data systems. Every value reported is computed from the deposited pipeline; no descriptor or energy is estimated from an empirical formula.</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is the most aggressive primary brain tumor in adults. Standard-of-care - maximal surgical resection, temozolomide chemotherapy and radiotherapy [1,2] - is almost invariably followed by recurrence, and MGMT-promoter methylation status modulates the temozolomide benefit [8]. A foundational barrier to clinical efficacy is the blood-brain barrier (BBB), which excludes the large majority of small-molecule therapeutics and nearly all large biologics from the brain parenchyma [9,10].</w:t>
      </w:r>
    </w:p>
    <w:p>
      <w:r>
        <w:t>Overexpression and genomic amplification of the epidermal growth factor receptor (EGFR) and its constitutively active deletion mutant EGFRvIII occur in a large fraction of GBM patients and drive proliferation, invasion and neo-angiogenesis [4,6,7]. Systemic administration of EGFR tyrosine kinase inhibitors (TKIs) such as osimertinib, gefitinib and erlotinib is compromised by poor BBB penetration and rapid systemic clearance [10,13].</w:t>
      </w:r>
    </w:p>
    <w:p>
      <w:r>
        <w:t>Two-dimensional transition-metal carbides and nitrides (MXenes), represented by titanium carbide (Ti3C2Tx) [21,22], combine metallic conductivity, hydrophilic surface terminations (-O, -OH, -F) and rich transition-metal coordination chemistry, and have been explored for nanomedicine [23-25]. Surface modification with Angiopep-2 peptides targeting low-density lipoprotein receptor-related protein 1 (LRP-1) has been proposed to promote transcytosis across the BBB; in the present study this functionalized carrier is treated only as a prospective extension (see Conclusions), and all quantum and docking results refer to the pristine Ti3C2O2 surface.</w:t>
      </w:r>
    </w:p>
    <w:p>
      <w:pPr>
        <w:spacing w:before="200" w:after="80"/>
        <w:jc w:val="center"/>
      </w:pPr>
      <w:r>
        <w:drawing>
          <wp:inline xmlns:a="http://schemas.openxmlformats.org/drawingml/2006/main" xmlns:pic="http://schemas.openxmlformats.org/drawingml/2006/picture">
            <wp:extent cx="5669280" cy="304413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4413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GFN2-xTB quantum-chemical adsorption on pristine Ti3C2O2, real AutoDock Vina docking (PDB 4ZAU / 2J6M), and a leak-free cross-validated explainable Nano-QSAR surrogate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Quantum-chemical framework: Each isolated drug, the pristine oxygen-terminated Ti3C2O2 MXene cluster, and every drug-MXene complex were geometry-optimized and evaluated at single point with GFN2-xTB (xtb v6.7.1) including the D4 dispersion correction [26,27]. The standardized single-point interaction energy is Delta_E_int,SP = E(complex) - E(MXene) - E(drug), with both fragments taken at the complex geometry. Frontier-orbital energies (E_HOMO, E_LUMO) and conceptual-DFT global reactivity indices - chemical hardness (eta = gap/2), softness (S), electronegativity (chi) and electrophilicity index (omega = mu^2/2eta) [39,40] - were read directly from the xtb output; no descriptor is estimated from an empirical formula.</w:t>
      </w:r>
    </w:p>
    <w:p>
      <w:r>
        <w:t>2.2 Molecular docking: The X-ray crystal structure of the human EGFR kinase domain (PDB ID: 4ZAU, 2.80 Å) was used as the primary receptor, with 2J6M as a secondary control. Receptor and ligands were protonated at pH 7.4 and converted to PDBQT with Meeko; rigid-receptor flexible-ligand docking used AutoDock Vina v1.2.7 [31,32] over a 22 x 22 x 22 Å grid centred on the ATP pocket. Because self-redocking of the co-crystallized ligand reproduced the native pose only within 5.32 Å heavy-atom RMSD, the docking scores are reported as an exploratory ranking rather than a quantitative endpoint.</w:t>
      </w:r>
    </w:p>
    <w:p>
      <w:r>
        <w:t>2.3 Surrogate model and applicability domain: A regularized linear model (StandardScaler + RidgeCV) was trained inside a leak-free nested 5x5 cross-validation on the real observed data. Feature importance was inspected with an ExtraTrees estimator and Shapley Additive Explanations (SHAP) [38] and is reported as exploratory only. The applicability domain follows OECD Principle 3 [34-36] via hat-matrix leverage (Williams plot) with warning leverage h* = 3(p+1)/n and +/-3sigma standardized-residual limits.</w:t>
      </w:r>
    </w:p>
    <w:p>
      <w:pPr>
        <w:spacing w:before="200" w:after="80"/>
        <w:jc w:val="center"/>
      </w:pPr>
      <w:r>
        <w:drawing>
          <wp:inline xmlns:a="http://schemas.openxmlformats.org/drawingml/2006/main" xmlns:pic="http://schemas.openxmlformats.org/drawingml/2006/picture">
            <wp:extent cx="5669280" cy="2889199"/>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89199"/>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(Delta_E_int,SP) across all 35 therapeutics on the pristine Ti3C2O2 cluster range from -0.9 kcal/mol for the most weakly interacting compounds to -15.5 kcal/mol for the most strongly stabilized (larotrectinib -15.5; temozolomide -13.4; lomustine -12.8 kcal/mol), consistent with dispersion-dominated physisorption of the drug pi-systems on the oxygen-terminated titanium-carbide surface.</w:t>
      </w:r>
    </w:p>
    <w:p>
      <w:pPr>
        <w:pStyle w:val="Heading2"/>
        <w:keepNext/>
        <w:spacing w:before="280" w:after="120"/>
      </w:pPr>
      <w:r>
        <w:rPr>
          <w:rFonts w:ascii="Times New Roman" w:hAnsi="Times New Roman"/>
          <w:b/>
          <w:color w:val="0D47A1"/>
          <w:sz w:val="24"/>
        </w:rPr>
        <w:t>3.2 Molecular docking against the EGFR kinase domain</w:t>
      </w:r>
    </w:p>
    <w:p>
      <w:r>
        <w:t>AutoDock Vina v1.2.7 screening of the 35 therapeutics against EGFR (PDB 4ZAU) gave scores from -3.96 to -8.94 kcal/mol (mean -7.16 kcal/mol). The highest-ranked compounds were entrectinib (-8.94), sorafenib (-8.66), trametinib (-8.50), cobimetinib (-8.49) and cabozantinib (-8.29 kcal/mol). Because self-redocking reproduced the native pose only within 5.32 Å RMSD, this ranking is treated as exploratory and is not used as a QSAR endpoint.</w:t>
      </w:r>
    </w:p>
    <w:p>
      <w:pPr>
        <w:spacing w:before="200" w:after="80"/>
        <w:jc w:val="center"/>
      </w:pPr>
      <w:r>
        <w:drawing>
          <wp:inline xmlns:a="http://schemas.openxmlformats.org/drawingml/2006/main" xmlns:pic="http://schemas.openxmlformats.org/drawingml/2006/picture">
            <wp:extent cx="5669280" cy="2591940"/>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591940"/>
                    </a:xfrm>
                    <a:prstGeom prst="rect"/>
                  </pic:spPr>
                </pic:pic>
              </a:graphicData>
            </a:graphic>
          </wp:inline>
        </w:drawing>
      </w:r>
    </w:p>
    <w:p>
      <w:pPr>
        <w:spacing w:after="240" w:line="276" w:lineRule="auto"/>
      </w:pPr>
      <w:r>
        <w:rPr>
          <w:b/>
          <w:color w:val="1565C0"/>
          <w:sz w:val="19"/>
        </w:rPr>
        <w:t xml:space="preserve">Figure 3: </w:t>
      </w:r>
      <w:r>
        <w:rPr>
          <w:i/>
          <w:sz w:val="19"/>
        </w:rPr>
        <w:t xml:space="preserve"> Molecular docking statistical profiles on the EGFR kinase domain (PDB 4ZAU; exploratory, redocking RMSD 5.32 Å): (a) distribution of real Vina scores; (b) ranking of the top-10 compounds.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frequencies on the EGFR kinase domain (real Vina poses, contact distance &lt;= 3.8 Å): most frequent contacts are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Nano-QSAR surrogate model and feature importance</w:t>
      </w:r>
    </w:p>
    <w:p>
      <w:r>
        <w:t>A StandardScaler + RidgeCV surrogate evaluated by leak-free nested 5x5 cross-validation on the real observed data (isolated Vina scores; and the real GFN2-xTB Delta_E_int,SP on the pristine Ti3C2O2 MXene) reached Q2_CV = 0.65 for the isolated-descriptor model and 0.10 for the pristine-MXene interaction-energy model, with RMSE of 0.54 and 3.95 kcal/mol respectively (n = 35, four descriptors each: MolWt, MolMR, E_HOMO, omega). The pristine-MXene model is therefore only weakly predictive, and the exploratory ExtraTrees feature-importance ranking (Figure 6) - led by molecular weight and molar refractivity - is reported as a qualitative indication rather than a validated structure-property relationship [42,43].</w:t>
      </w:r>
    </w:p>
    <w:p>
      <w:pPr>
        <w:spacing w:before="200" w:after="80"/>
        <w:jc w:val="center"/>
      </w:pPr>
      <w:r>
        <w:drawing>
          <wp:inline xmlns:a="http://schemas.openxmlformats.org/drawingml/2006/main" xmlns:pic="http://schemas.openxmlformats.org/drawingml/2006/picture">
            <wp:extent cx="5669280" cy="2849112"/>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49112"/>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100449"/>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100449"/>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(real descriptor matrix, 35 GBM therapeutics).</w:t>
      </w:r>
    </w:p>
    <w:p>
      <w:pPr>
        <w:pStyle w:val="Heading2"/>
        <w:keepNext/>
        <w:spacing w:before="280" w:after="120"/>
      </w:pPr>
      <w:r>
        <w:rPr>
          <w:rFonts w:ascii="Times New Roman" w:hAnsi="Times New Roman"/>
          <w:b/>
          <w:color w:val="0D47A1"/>
          <w:sz w:val="24"/>
        </w:rPr>
        <w:t>3.4 Applicability domain (OECD Principle 3)</w:t>
      </w:r>
    </w:p>
    <w:p>
      <w:r>
        <w:t>The applicability domain was assessed by hat-matrix leverage on the real descriptor matrix (Williams plot) [34-36]. With the full descriptor set the warning leverage is h* = 1.80 for the isolated-drug system (20 descriptors) and h* = 0.77 for the pristine-MXene system (8 descriptors); all 35 compounds fall inside the domain (leverage below h* and standardized residual within +/-3sigma) in both cases.</w:t>
      </w:r>
    </w:p>
    <w:p>
      <w:pPr>
        <w:spacing w:before="200" w:after="80"/>
        <w:jc w:val="center"/>
      </w:pPr>
      <w:r>
        <w:drawing>
          <wp:inline xmlns:a="http://schemas.openxmlformats.org/drawingml/2006/main" xmlns:pic="http://schemas.openxmlformats.org/drawingml/2006/picture">
            <wp:extent cx="5669280" cy="242259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42259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Representative binding modes</w:t>
      </w:r>
    </w:p>
    <w:p>
      <w:r>
        <w:t>Inspection of the top-ranked docked poses on EGFR (PDB 4ZAU) shows the inhibitors occupying the ATP cleft with contacts to the residues in Figure 4 (Asp392, His394, Arg427, Thr391). On the pristine Ti3C2O2 surface the strongest-binding drugs lie flat against the oxygen termination, consistent with the dispersion-dominated interaction energies of Section 3.1.</w:t>
      </w:r>
    </w:p>
    <w:p>
      <w:pPr>
        <w:spacing w:before="200" w:after="80"/>
        <w:jc w:val="center"/>
      </w:pPr>
      <w:r>
        <w:drawing>
          <wp:inline xmlns:a="http://schemas.openxmlformats.org/drawingml/2006/main" xmlns:pic="http://schemas.openxmlformats.org/drawingml/2006/picture">
            <wp:extent cx="5669280" cy="1731040"/>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731040"/>
                    </a:xfrm>
                    <a:prstGeom prst="rect"/>
                  </pic:spPr>
                </pic:pic>
              </a:graphicData>
            </a:graphic>
          </wp:inline>
        </w:drawing>
      </w:r>
    </w:p>
    <w:p>
      <w:pPr>
        <w:spacing w:after="240" w:line="276" w:lineRule="auto"/>
      </w:pPr>
      <w:r>
        <w:rPr>
          <w:b/>
          <w:color w:val="1565C0"/>
          <w:sz w:val="19"/>
        </w:rPr>
        <w:t xml:space="preserve">Figure 9: </w:t>
      </w:r>
      <w:r>
        <w:rPr>
          <w:i/>
          <w:sz w:val="19"/>
        </w:rPr>
        <w:t xml:space="preserve"> Representative binding modes (schematic): (a-b) top-ranked inhibitors in the EGFR ATP cleft (PDB 4ZAU); (c) a drug on the pristine Ti3C2O2 MXene surface with its real GFN2-xTB Delta_E_int,SP.</w:t>
      </w:r>
    </w:p>
    <w:p>
      <w:pPr>
        <w:pStyle w:val="Heading1"/>
        <w:keepNext/>
        <w:spacing w:before="280" w:after="120"/>
      </w:pPr>
      <w:r>
        <w:rPr>
          <w:rFonts w:ascii="Times New Roman" w:hAnsi="Times New Roman"/>
          <w:b/>
          <w:color w:val="1565C0"/>
          <w:sz w:val="28"/>
        </w:rPr>
        <w:t>4. Conclusions</w:t>
      </w:r>
    </w:p>
    <w:p>
      <w:r>
        <w:t>We report a quantum-informed, explainable Nano-QSAR analysis of 2D Ti3C2Tx MXene as a candidate delivery scaffold for glioblastoma therapeutics. Combining real GFN2-xTB single-point interaction energies, exploratory AutoDock Vina docking against the EGFR kinase domain (PDB 4ZAU), and a leak-free cross-validated RidgeCV surrogate assessed under OECD guidelines, we find that the pristine Ti3C2O2 surface binds all 35 screened therapeutics by dispersion-dominated physisorption (Delta_E_int,SP = -0.9 to -15.5 kcal/mol). The surrogate is only weakly predictive for the MXene interaction energy, so the descriptor rankings are presented as exploratory. An Angiopep-2-functionalized MXene for LRP-1-mediated BBB transcytosis is a natural extension but is outside the present scope: it has no real structural or quantum data here and would require dedicated complex-geometry modeling.</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Stupp, R.; Mason, W. P.; van den Bent, M. J.; Weller, M.; Fisher, B.; Taphoorn, M. J.; Belanger, K.; Brandes, A. A.; Marosi, C.; Bogdahn, U.; et al. Radiotherapy plus Concomitant and Adjuvant Temozolomide for Glioblastoma. New England Journal of Medicine 2005, 352 (10), 987-996. </w:t>
      </w:r>
      <w:r>
        <w:rPr>
          <w:i/>
          <w:color w:val="1565C0"/>
          <w:sz w:val="18"/>
        </w:rPr>
        <w:t>doi:10.1056/nejmoa043330</w:t>
      </w:r>
    </w:p>
    <w:p>
      <w:pPr>
        <w:spacing w:after="60"/>
        <w:ind w:left="576"/>
      </w:pPr>
      <w:r>
        <w:rPr>
          <w:b/>
        </w:rPr>
        <w:t xml:space="preserve">2. </w:t>
      </w:r>
      <w:r>
        <w:t xml:space="preserve">Stupp, R.; Hegi, M. E.; Mason, W. P.; van den Bent, M. J.; Taphoorn, M. J.; Janzer, R. C.; Ludwin, S. K.; Allgeier, A.; Fisher, B.; Belanger, K.; et al. Effects of radiotherapy with concomitant and adjuvant temozolomide versus radiotherapy alone on survival in glioblastoma in a randomised phase III study: 5-year analysis of the EORTC-NCIC trial. The Lancet Oncology 2009, 10 (5), 459-466. </w:t>
      </w:r>
      <w:r>
        <w:rPr>
          <w:i/>
          <w:color w:val="1565C0"/>
          <w:sz w:val="18"/>
        </w:rPr>
        <w:t>doi:10.1016/s1470-2045(09)70025-7</w:t>
      </w:r>
    </w:p>
    <w:p>
      <w:pPr>
        <w:spacing w:after="60"/>
        <w:ind w:left="576"/>
      </w:pPr>
      <w:r>
        <w:rPr>
          <w:b/>
        </w:rPr>
        <w:t xml:space="preserve">3. </w:t>
      </w:r>
      <w:r>
        <w:t xml:space="preserve">Weller, M.; van den Bent, M.; Preusser, M.; Le Rhun, E.; Tonn, J. C.; Minniti, G.; Bendszus, M.; Balana, C.; Chinot, O.; Dirven, L.; et al. EANO guidelines on the diagnosis and treatment of diffuse gliomas of adulthood. Nature Reviews Clinical Oncology 2020, 18 (3), 170-186. </w:t>
      </w:r>
      <w:r>
        <w:rPr>
          <w:i/>
          <w:color w:val="1565C0"/>
          <w:sz w:val="18"/>
        </w:rPr>
        <w:t>doi:10.1038/s41571-020-00447-z</w:t>
      </w:r>
    </w:p>
    <w:p>
      <w:pPr>
        <w:spacing w:after="60"/>
        <w:ind w:left="576"/>
      </w:pPr>
      <w:r>
        <w:rPr>
          <w:b/>
        </w:rPr>
        <w:t xml:space="preserve">4. </w:t>
      </w:r>
      <w:r>
        <w:t xml:space="preserve">Brennan, C.; Verhaak, R.; McKenna, A.; Campos, B.; Noushmehr, H.; Salama, S.; Zheng, S.; Chakravarty, D.; Sanborn, J.; Berman, S.; et al. The Somatic Genomic Landscape of Glioblastoma. Cell 2013, 155 (2), 462-477. </w:t>
      </w:r>
      <w:r>
        <w:rPr>
          <w:i/>
          <w:color w:val="1565C0"/>
          <w:sz w:val="18"/>
        </w:rPr>
        <w:t>doi:10.1016/j.cell.2013.09.034</w:t>
      </w:r>
    </w:p>
    <w:p>
      <w:pPr>
        <w:spacing w:after="60"/>
        <w:ind w:left="576"/>
      </w:pPr>
      <w:r>
        <w:rPr>
          <w:b/>
        </w:rPr>
        <w:t xml:space="preserve">5. </w:t>
      </w:r>
      <w:r>
        <w:t xml:space="preserve">Yarden, Y.; Pines, G. The ERBB network: at last, cancer therapy meets systems biology. Nature Reviews Cancer 2012, 12 (8), 553-563. </w:t>
      </w:r>
      <w:r>
        <w:rPr>
          <w:i/>
          <w:color w:val="1565C0"/>
          <w:sz w:val="18"/>
        </w:rPr>
        <w:t>doi:10.1038/nrc3309</w:t>
      </w:r>
    </w:p>
    <w:p>
      <w:pPr>
        <w:spacing w:after="60"/>
        <w:ind w:left="576"/>
      </w:pPr>
      <w:r>
        <w:rPr>
          <w:b/>
        </w:rPr>
        <w:t xml:space="preserve">6. </w:t>
      </w:r>
      <w:r>
        <w:t xml:space="preserve">Furnari, F. B.; Cloughesy, T. F.; Cavenee, W. K.; Mischel, P. S. Heterogeneity of epidermal growth factor receptor signalling networks in glioblastoma. Nature Reviews Cancer 2015, 15 (5), 302-310. </w:t>
      </w:r>
      <w:r>
        <w:rPr>
          <w:i/>
          <w:color w:val="1565C0"/>
          <w:sz w:val="18"/>
        </w:rPr>
        <w:t>doi:10.1038/nrc3918</w:t>
      </w:r>
    </w:p>
    <w:p>
      <w:pPr>
        <w:spacing w:after="60"/>
        <w:ind w:left="576"/>
      </w:pPr>
      <w:r>
        <w:rPr>
          <w:b/>
        </w:rPr>
        <w:t xml:space="preserve">7. </w:t>
      </w:r>
      <w:r>
        <w:t xml:space="preserve">Vivanco, I.; Robins, H. I.; Rohle, D.; Campos, C.; Grommes, C.; Nghiemphu, P. L.; Kubek, S.; Oldrini, B.; Chheda, M. G.; Yannuzzi, N.; et al. Differential Sensitivity of Glioma- versus Lung Cancer–Specific EGFR Mutations to EGFR Kinase Inhibitors. Cancer Discovery 2012, 2 (5), 458-471. </w:t>
      </w:r>
      <w:r>
        <w:rPr>
          <w:i/>
          <w:color w:val="1565C0"/>
          <w:sz w:val="18"/>
        </w:rPr>
        <w:t>doi:10.1158/2159-8290.cd-11-0284</w:t>
      </w:r>
    </w:p>
    <w:p>
      <w:pPr>
        <w:spacing w:after="60"/>
        <w:ind w:left="576"/>
      </w:pPr>
      <w:r>
        <w:rPr>
          <w:b/>
        </w:rPr>
        <w:t xml:space="preserve">8. </w:t>
      </w:r>
      <w:r>
        <w:t xml:space="preserve">Hegi, M. E.; Diserens, A. C.; Gorlia, T.; Hamou, M. F.; de Tribolet, N.; Weller, M.; Kros, J. M.; Hainfellner, J. A.; Mason, W.; Mariani, L.; et al. MGMT Gene Silencing and Benefit from Temozolomide in Glioblastoma. New England Journal of Medicine 2005, 352 (10), 997-1003. </w:t>
      </w:r>
      <w:r>
        <w:rPr>
          <w:i/>
          <w:color w:val="1565C0"/>
          <w:sz w:val="18"/>
        </w:rPr>
        <w:t>doi:10.1056/nejmoa043331</w:t>
      </w:r>
    </w:p>
    <w:p>
      <w:pPr>
        <w:spacing w:after="60"/>
        <w:ind w:left="576"/>
      </w:pPr>
      <w:r>
        <w:rPr>
          <w:b/>
        </w:rPr>
        <w:t xml:space="preserve">9. </w:t>
      </w:r>
      <w:r>
        <w:t xml:space="preserve">van Tellingen, O.; Yetkin-Arik, B.; de Gooijer, M.; Wesseling, P.; Wurdinger, T.; de Vries, H. Overcoming the blood–brain tumor barrier for effective glioblastoma treatment. Drug Resistance Updates 2015, 19, 1-12. </w:t>
      </w:r>
      <w:r>
        <w:rPr>
          <w:i/>
          <w:color w:val="1565C0"/>
          <w:sz w:val="18"/>
        </w:rPr>
        <w:t>doi:10.1016/j.drup.2015.02.002</w:t>
      </w:r>
    </w:p>
    <w:p>
      <w:pPr>
        <w:spacing w:after="60"/>
        <w:ind w:left="576"/>
      </w:pPr>
      <w:r>
        <w:rPr>
          <w:b/>
        </w:rPr>
        <w:t xml:space="preserve">10. </w:t>
      </w:r>
      <w:r>
        <w:t xml:space="preserve">Sarkaria, J. N.; Hu, L. S.; Parney, I. F.; Pafundi, D. H.; Brinkmann, D. H.; Laack, N. N.; Giannini, C.; Burns, T. C.; Kizilbash, S. H.; Laramy, J. K.; et al. Is the blood–brain barrier really disrupted in all glioblastomas? A critical assessment of existing clinical data. Neuro-Oncology 2017, 20 (2), 184-191. </w:t>
      </w:r>
      <w:r>
        <w:rPr>
          <w:i/>
          <w:color w:val="1565C0"/>
          <w:sz w:val="18"/>
        </w:rPr>
        <w:t>doi:10.1093/neuonc/nox175</w:t>
      </w:r>
    </w:p>
    <w:p>
      <w:pPr>
        <w:spacing w:after="60"/>
        <w:ind w:left="576"/>
      </w:pPr>
      <w:r>
        <w:rPr>
          <w:b/>
        </w:rPr>
        <w:t xml:space="preserve">11. </w:t>
      </w:r>
      <w:r>
        <w:t xml:space="preserve">Yun, C. H.; Boggon, T. J.; Li, Y.; Woo, M. S.; Greulich, H.; Meyerson, M.; Eck, M. J. Structures of Lung Cancer-Derived EGFR Mutants and Inhibitor Complexes: Mechanism of Activation and Insights into Differential Inhibitor Sensitivity. Cancer Cell 2007, 11 (3), 217-227. </w:t>
      </w:r>
      <w:r>
        <w:rPr>
          <w:i/>
          <w:color w:val="1565C0"/>
          <w:sz w:val="18"/>
        </w:rPr>
        <w:t>doi:10.1016/j.ccr.2006.12.017</w:t>
      </w:r>
    </w:p>
    <w:p>
      <w:pPr>
        <w:spacing w:after="60"/>
        <w:ind w:left="576"/>
      </w:pPr>
      <w:r>
        <w:rPr>
          <w:b/>
        </w:rPr>
        <w:t xml:space="preserve">12. </w:t>
      </w:r>
      <w:r>
        <w:t xml:space="preserve">Yosaatmadja, Y.; Silva, S.; Dickson, J. M.; Patterson, A. V.; Smaill, J. B.; Flanagan, J. U.; McKeage, M. J.; Squire, C. J. Binding mode of the breakthrough inhibitor AZD9291 to epidermal growth factor receptor revealed. Journal of Structural Biology 2015, 192 (3), 539-544. </w:t>
      </w:r>
      <w:r>
        <w:rPr>
          <w:i/>
          <w:color w:val="1565C0"/>
          <w:sz w:val="18"/>
        </w:rPr>
        <w:t>doi:10.1016/j.jsb.2015.10.018</w:t>
      </w:r>
    </w:p>
    <w:p>
      <w:pPr>
        <w:spacing w:after="60"/>
        <w:ind w:left="576"/>
      </w:pPr>
      <w:r>
        <w:rPr>
          <w:b/>
        </w:rPr>
        <w:t xml:space="preserve">13. </w:t>
      </w:r>
      <w:r>
        <w:t xml:space="preserve">Jänne, P. A.; Yang, J. C. H.; Kim, D. W.; Planchard, D.; Ohe, Y.; Ramalingam, S. S.; Ahn, M. J.; Kim, S. W.; Su, W. C.; Horn, L.; et al. AZD9291 in EGFR Inhibitor–Resistant Non–Small-Cell Lung Cancer. New England Journal of Medicine 2015, 372 (18), 1689-1699. </w:t>
      </w:r>
      <w:r>
        <w:rPr>
          <w:i/>
          <w:color w:val="1565C0"/>
          <w:sz w:val="18"/>
        </w:rPr>
        <w:t>doi:10.1056/nejmoa1411817</w:t>
      </w:r>
    </w:p>
    <w:p>
      <w:pPr>
        <w:spacing w:after="60"/>
        <w:ind w:left="576"/>
      </w:pPr>
      <w:r>
        <w:rPr>
          <w:b/>
        </w:rPr>
        <w:t xml:space="preserve">14. </w:t>
      </w:r>
      <w:r>
        <w:t xml:space="preserve">Stommel, J. M.; Kimmelman, A. C.; Ying, H.; Nabioullin, R.; Ponugoti, A. H.; Wiedemeyer, R.; Stegh, A. H.; Bradner, J. E.; Ligon, K. L.; Brennan, C.; et al. Coactivation of Receptor Tyrosine Kinases Affects the Response of Tumor Cells to Targeted Therapies. Science 2007, 318 (5848), 287-290. </w:t>
      </w:r>
      <w:r>
        <w:rPr>
          <w:i/>
          <w:color w:val="1565C0"/>
          <w:sz w:val="18"/>
        </w:rPr>
        <w:t>doi:10.1126/science.1142946</w:t>
      </w:r>
    </w:p>
    <w:p>
      <w:pPr>
        <w:spacing w:after="60"/>
        <w:ind w:left="576"/>
      </w:pPr>
      <w:r>
        <w:rPr>
          <w:b/>
        </w:rPr>
        <w:t xml:space="preserve">15. </w:t>
      </w:r>
      <w:r>
        <w:t xml:space="preserve">Mellinghoff, I. K.; Wang, M. Y.; Vivanco, I.; Haas-Kogan, D. A.; Zhu, S.; Dia, E. Q.; Lu, K. V.; Yoshimoto, K.; Huang, J. H.; Chute, D. J.; et al. Molecular Determinants of the Response of Glioblastomas to EGFR Kinase Inhibitors. New England Journal of Medicine 2005, 353 (19), 2012-2024. </w:t>
      </w:r>
      <w:r>
        <w:rPr>
          <w:i/>
          <w:color w:val="1565C0"/>
          <w:sz w:val="18"/>
        </w:rPr>
        <w:t>doi:10.1056/nejmoa051918</w:t>
      </w:r>
    </w:p>
    <w:p>
      <w:pPr>
        <w:spacing w:after="60"/>
        <w:ind w:left="576"/>
      </w:pPr>
      <w:r>
        <w:rPr>
          <w:b/>
        </w:rPr>
        <w:t xml:space="preserve">16. </w:t>
      </w:r>
      <w:r>
        <w:t xml:space="preserve">Cross, D. A.; Ashton, S. E.; Ghiorghiu, S.; Eberlein, C.; Nebhan, C. A.; Spitzler, P. J.; Orme, J. P.; Finlay, M. R. V.; Ward, R. A.; Mellor, M. J.; et al. AZD9291, an Irreversible EGFR TKI, Overcomes T790M-Mediated Resistance to EGFR Inhibitors in Lung Cancer. Cancer Discovery 2014, 4 (9), 1046-1061. </w:t>
      </w:r>
      <w:r>
        <w:rPr>
          <w:i/>
          <w:color w:val="1565C0"/>
          <w:sz w:val="18"/>
        </w:rPr>
        <w:t>doi:10.1158/2159-8290.cd-14-0337</w:t>
      </w:r>
    </w:p>
    <w:p>
      <w:pPr>
        <w:spacing w:after="60"/>
        <w:ind w:left="576"/>
      </w:pPr>
      <w:r>
        <w:rPr>
          <w:b/>
        </w:rPr>
        <w:t xml:space="preserve">17. </w:t>
      </w:r>
      <w:r>
        <w:t xml:space="preserve">Eck, M. J.; Yun, C. H. Structural and mechanistic underpinnings of the differential drug sensitivity of EGFR mutations in non-small cell lung cancer. Biochimica et Biophysica Acta (BBA) - Proteins and Proteomics 2010, 1804 (3), 559-566. </w:t>
      </w:r>
      <w:r>
        <w:rPr>
          <w:i/>
          <w:color w:val="1565C0"/>
          <w:sz w:val="18"/>
        </w:rPr>
        <w:t>doi:10.1016/j.bbapap.2009.12.010</w:t>
      </w:r>
    </w:p>
    <w:p>
      <w:pPr>
        <w:spacing w:after="60"/>
        <w:ind w:left="576"/>
      </w:pPr>
      <w:r>
        <w:rPr>
          <w:b/>
        </w:rPr>
        <w:t xml:space="preserve">18. </w:t>
      </w:r>
      <w:r>
        <w:t xml:space="preserve">Wang, S.; Cang, S.; Liu, D. Third-generation inhibitors targeting EGFR T790M mutation in advanced non-small cell lung cancer. Journal of Hematology &amp; Oncology 2016, 9 (1). </w:t>
      </w:r>
      <w:r>
        <w:rPr>
          <w:i/>
          <w:color w:val="1565C0"/>
          <w:sz w:val="18"/>
        </w:rPr>
        <w:t>doi:10.1186/s13045-016-0268-z</w:t>
      </w:r>
    </w:p>
    <w:p>
      <w:pPr>
        <w:spacing w:after="60"/>
        <w:ind w:left="576"/>
      </w:pPr>
      <w:r>
        <w:rPr>
          <w:b/>
        </w:rPr>
        <w:t xml:space="preserve">19. </w:t>
      </w:r>
      <w:r>
        <w:t xml:space="preserve">Veal, J. M. Practical Use of Computational Chemistry in Kinase Drug Discovery. Kinase Inhibitor Drugs 2009, 403-431. </w:t>
      </w:r>
      <w:r>
        <w:rPr>
          <w:i/>
          <w:color w:val="1565C0"/>
          <w:sz w:val="18"/>
        </w:rPr>
        <w:t>doi:10.1002/9780470524961.ch16</w:t>
      </w:r>
    </w:p>
    <w:p>
      <w:pPr>
        <w:spacing w:after="60"/>
        <w:ind w:left="576"/>
      </w:pPr>
      <w:r>
        <w:rPr>
          <w:b/>
        </w:rPr>
        <w:t xml:space="preserve">20. </w:t>
      </w:r>
      <w:r>
        <w:t xml:space="preserve">Zhang, X.; Gureasko, J.; Shen, K.; Cole, P. A.; Kuriyan, J. An Allosteric Mechanism for Activation of the Kinase Domain of Epidermal Growth Factor Receptor. Cell 2006, 125 (6), 1137-1149. </w:t>
      </w:r>
      <w:r>
        <w:rPr>
          <w:i/>
          <w:color w:val="1565C0"/>
          <w:sz w:val="18"/>
        </w:rPr>
        <w:t>doi:10.1016/j.cell.2006.05.013</w:t>
      </w:r>
    </w:p>
    <w:p>
      <w:pPr>
        <w:spacing w:after="60"/>
        <w:ind w:left="576"/>
      </w:pPr>
      <w:r>
        <w:rPr>
          <w:b/>
        </w:rPr>
        <w:t xml:space="preserve">21. </w:t>
      </w:r>
      <w:r>
        <w:t xml:space="preserve">Naguib, M.; Kurtoglu, M.; Presser, V.; Lu, J.; Niu, J.; Heon, M.; Hultman, L.; Gogotsi, Y.; Barsoum, M. W. Two‐Dimensional Nanocrystals Produced by Exfoliation of Ti 3 AlC 2. Advanced Materials 2011, 23 (37), 4248-4253. </w:t>
      </w:r>
      <w:r>
        <w:rPr>
          <w:i/>
          <w:color w:val="1565C0"/>
          <w:sz w:val="18"/>
        </w:rPr>
        <w:t>doi:10.1002/adma.201102306</w:t>
      </w:r>
    </w:p>
    <w:p>
      <w:pPr>
        <w:spacing w:after="60"/>
        <w:ind w:left="576"/>
      </w:pPr>
      <w:r>
        <w:rPr>
          <w:b/>
        </w:rPr>
        <w:t xml:space="preserve">22. </w:t>
      </w:r>
      <w:r>
        <w:t xml:space="preserve">Naguib, M.; Mochalin, V. N.; Barsoum, M. W.; Gogotsi, Y. 25th Anniversary Article: MXenes: A New Family of Two‐Dimensional Materials. Advanced Materials 2013, 26 (7), 992-1005. </w:t>
      </w:r>
      <w:r>
        <w:rPr>
          <w:i/>
          <w:color w:val="1565C0"/>
          <w:sz w:val="18"/>
        </w:rPr>
        <w:t>doi:10.1002/adma.201304138</w:t>
      </w:r>
    </w:p>
    <w:p>
      <w:pPr>
        <w:spacing w:after="60"/>
        <w:ind w:left="576"/>
      </w:pPr>
      <w:r>
        <w:rPr>
          <w:b/>
        </w:rPr>
        <w:t xml:space="preserve">23. </w:t>
      </w:r>
      <w:r>
        <w:t xml:space="preserve">Anasori, B.; Lukatskaya, M. R.; Gogotsi, Y. 2D metal carbides and nitrides (MXenes) for energy storage. Nature Reviews Materials 2017, 2 (2). </w:t>
      </w:r>
      <w:r>
        <w:rPr>
          <w:i/>
          <w:color w:val="1565C0"/>
          <w:sz w:val="18"/>
        </w:rPr>
        <w:t>doi:10.1038/natrevmats.2016.98</w:t>
      </w:r>
    </w:p>
    <w:p>
      <w:pPr>
        <w:spacing w:after="60"/>
        <w:ind w:left="576"/>
      </w:pPr>
      <w:r>
        <w:rPr>
          <w:b/>
        </w:rPr>
        <w:t xml:space="preserve">24. </w:t>
      </w:r>
      <w:r>
        <w:t xml:space="preserve">Alhabeb, M.; Maleski, K.; Anasori, B.; Lelyukh, P.; Clark, L.; Sin, S.; Gogotsi, Y. Guidelines for Synthesis and Processing of Two-Dimensional Titanium Carbide (Ti 3 C 2 T x MXene). Chemistry of Materials 2017, 29 (18), 7633-7644. </w:t>
      </w:r>
      <w:r>
        <w:rPr>
          <w:i/>
          <w:color w:val="1565C0"/>
          <w:sz w:val="18"/>
        </w:rPr>
        <w:t>doi:10.1021/acs.chemmater.7b02847</w:t>
      </w:r>
    </w:p>
    <w:p>
      <w:pPr>
        <w:spacing w:after="60"/>
        <w:ind w:left="576"/>
      </w:pPr>
      <w:r>
        <w:rPr>
          <w:b/>
        </w:rPr>
        <w:t xml:space="preserve">25. </w:t>
      </w:r>
      <w:r>
        <w:t xml:space="preserve">Liu, Z.; Zhao, M.; Lin, H.; Dai, C.; Ren, C.; Zhang, S.; Peng, W.; Chen, Y. 2D magnetic titanium carbide MXene for cancer theranostics. Journal of Materials Chemistry B 2018, 6 (21), 3541-3548. </w:t>
      </w:r>
      <w:r>
        <w:rPr>
          <w:i/>
          <w:color w:val="1565C0"/>
          <w:sz w:val="18"/>
        </w:rPr>
        <w:t>doi:10.1039/c8tb00754c</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1565C0"/>
          <w:sz w:val="18"/>
        </w:rPr>
        <w:t>doi:10.1021/acs.jctc.8b01176</w:t>
      </w:r>
    </w:p>
    <w:p>
      <w:pPr>
        <w:spacing w:after="60"/>
        <w:ind w:left="576"/>
      </w:pPr>
      <w:r>
        <w:rPr>
          <w:b/>
        </w:rPr>
        <w:t xml:space="preserve">27. </w:t>
      </w:r>
      <w:r>
        <w:t xml:space="preserve">Caldeweyher, E.; Ehlert, S.; Hansen, A.; Neugebauer, H.; Spicher, S.; Bannwarth, C.; Grimme, S. A generally applicable atomic-charge dependent London dispersion correction. The Journal of Chemical Physics 2019, 150 (15). </w:t>
      </w:r>
      <w:r>
        <w:rPr>
          <w:i/>
          <w:color w:val="1565C0"/>
          <w:sz w:val="18"/>
        </w:rPr>
        <w:t>doi:10.1063/1.5090222</w:t>
      </w:r>
    </w:p>
    <w:p>
      <w:pPr>
        <w:spacing w:after="60"/>
        <w:ind w:left="576"/>
      </w:pPr>
      <w:r>
        <w:rPr>
          <w:b/>
        </w:rPr>
        <w:t xml:space="preserve">28. </w:t>
      </w:r>
      <w:r>
        <w:t xml:space="preserve">Neese, F. Software update: The ORCA program system—Version 5.0. WIREs Computational Molecular Science 2022, 12 (5). </w:t>
      </w:r>
      <w:r>
        <w:rPr>
          <w:i/>
          <w:color w:val="1565C0"/>
          <w:sz w:val="18"/>
        </w:rPr>
        <w:t>doi:10.1002/wcms.1606</w:t>
      </w:r>
    </w:p>
    <w:p>
      <w:pPr>
        <w:spacing w:after="60"/>
        <w:ind w:left="576"/>
      </w:pPr>
      <w:r>
        <w:rPr>
          <w:b/>
        </w:rPr>
        <w:t xml:space="preserve">29. </w:t>
      </w:r>
      <w:r>
        <w:t xml:space="preserve">Becke, A. D. Density-functional thermochemistry. III. The role of exact exchange. The Journal of Chemical Physics 1993, 98 (7), 5648-5652. </w:t>
      </w:r>
      <w:r>
        <w:rPr>
          <w:i/>
          <w:color w:val="1565C0"/>
          <w:sz w:val="18"/>
        </w:rPr>
        <w:t>doi:10.1063/1.464913</w:t>
      </w:r>
    </w:p>
    <w:p>
      <w:pPr>
        <w:spacing w:after="60"/>
        <w:ind w:left="576"/>
      </w:pPr>
      <w:r>
        <w:rPr>
          <w:b/>
        </w:rPr>
        <w:t xml:space="preserve">30. </w:t>
      </w:r>
      <w:r>
        <w:t xml:space="preserve">Weigend, F.; Ahlrichs, R. Balanced basis sets of split valence, triple zeta valence and quadruple zeta valence quality for H to Rn: Design and assessment of accuracy. Physical Chemistry Chemical Physics 2005, 7 (18), 3297. </w:t>
      </w:r>
      <w:r>
        <w:rPr>
          <w:i/>
          <w:color w:val="1565C0"/>
          <w:sz w:val="18"/>
        </w:rPr>
        <w:t>doi:10.1039/b508541a</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1565C0"/>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1565C0"/>
          <w:sz w:val="18"/>
        </w:rPr>
        <w:t>doi:10.1021/acs.jcim.1c00203</w:t>
      </w:r>
    </w:p>
    <w:p>
      <w:pPr>
        <w:spacing w:after="60"/>
        <w:ind w:left="576"/>
      </w:pPr>
      <w:r>
        <w:rPr>
          <w:b/>
        </w:rPr>
        <w:t xml:space="preserve">33. </w:t>
      </w:r>
      <w:r>
        <w:t xml:space="preserve">Landrum, G. et al. RDKit: Open-source cheminformatics toolkit, version 2024.03.1. https://www.rdkit.org (accessed 2026). </w:t>
      </w:r>
      <w:r>
        <w:rPr>
          <w:i/>
          <w:color w:val="1565C0"/>
          <w:sz w:val="18"/>
        </w:rPr>
        <w:t>doi:10.5281/zenodo.10848032</w:t>
      </w:r>
    </w:p>
    <w:p>
      <w:pPr>
        <w:spacing w:after="60"/>
        <w:ind w:left="576"/>
      </w:pPr>
      <w:r>
        <w:rPr>
          <w:b/>
        </w:rPr>
        <w:t xml:space="preserve">34. </w:t>
      </w:r>
      <w:r>
        <w:t xml:space="preserve">OECD. Guidance Document on the Validation of (Quantitative) Structure-Activity Relationship [(Q)SAR] Models; OECD Environment Health and Safety Publications, Series on Testing and Assessment No. 69; OECD Publishing: Paris, 2007. </w:t>
      </w:r>
      <w:r>
        <w:rPr>
          <w:i/>
          <w:color w:val="1565C0"/>
          <w:sz w:val="18"/>
        </w:rPr>
        <w:t>doi:10.1787/9789264085442-en</w:t>
      </w:r>
    </w:p>
    <w:p>
      <w:pPr>
        <w:spacing w:after="60"/>
        <w:ind w:left="576"/>
      </w:pPr>
      <w:r>
        <w:rPr>
          <w:b/>
        </w:rPr>
        <w:t xml:space="preserve">35. </w:t>
      </w:r>
      <w:r>
        <w:t xml:space="preserve">Gramatica, P. Principles of QSAR models validation: internal and external. QSAR &amp; Combinatorial Science 2007, 26 (5), 694-701. </w:t>
      </w:r>
      <w:r>
        <w:rPr>
          <w:i/>
          <w:color w:val="1565C0"/>
          <w:sz w:val="18"/>
        </w:rPr>
        <w:t>doi:10.1002/qsar.200610151</w:t>
      </w:r>
    </w:p>
    <w:p>
      <w:pPr>
        <w:spacing w:after="60"/>
        <w:ind w:left="576"/>
      </w:pPr>
      <w:r>
        <w:rPr>
          <w:b/>
        </w:rPr>
        <w:t xml:space="preserve">36. </w:t>
      </w:r>
      <w:r>
        <w:t xml:space="preserve">Tropsha, A. Best Practices for QSAR Model Development, Validation, and Exploitation. Molecular Informatics 2010, 29 (6-7), 476-488. </w:t>
      </w:r>
      <w:r>
        <w:rPr>
          <w:i/>
          <w:color w:val="1565C0"/>
          <w:sz w:val="18"/>
        </w:rPr>
        <w:t>doi:10.1002/minf.201000061</w:t>
      </w:r>
    </w:p>
    <w:p>
      <w:pPr>
        <w:spacing w:after="60"/>
        <w:ind w:left="576"/>
      </w:pPr>
      <w:r>
        <w:rPr>
          <w:b/>
        </w:rPr>
        <w:t xml:space="preserve">37. </w:t>
      </w:r>
      <w:r>
        <w:t xml:space="preserve">Rücker, C.; Rücker, G.; Meringer, M. y-Randomization and Its Variants in QSPR/QSAR. Journal of Chemical Information and Modeling 2007, 47 (6), 2345-2357. </w:t>
      </w:r>
      <w:r>
        <w:rPr>
          <w:i/>
          <w:color w:val="1565C0"/>
          <w:sz w:val="18"/>
        </w:rPr>
        <w:t>doi:10.1021/ci700157b</w:t>
      </w:r>
    </w:p>
    <w:p>
      <w:pPr>
        <w:spacing w:after="60"/>
        <w:ind w:left="576"/>
      </w:pPr>
      <w:r>
        <w:rPr>
          <w:b/>
        </w:rPr>
        <w:t xml:space="preserve">38.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39. </w:t>
      </w:r>
      <w:r>
        <w:t xml:space="preserve">Parr, R. G.; Pearson, R. G. Absolute hardness: companion parameter to absolute electronegativity. Journal of the American Chemical Society 1983, 105 (26), 7512-7516. </w:t>
      </w:r>
      <w:r>
        <w:rPr>
          <w:i/>
          <w:color w:val="1565C0"/>
          <w:sz w:val="18"/>
        </w:rPr>
        <w:t>doi:10.1021/ja00364a005</w:t>
      </w:r>
    </w:p>
    <w:p>
      <w:pPr>
        <w:spacing w:after="60"/>
        <w:ind w:left="576"/>
      </w:pPr>
      <w:r>
        <w:rPr>
          <w:b/>
        </w:rPr>
        <w:t xml:space="preserve">40. </w:t>
      </w:r>
      <w:r>
        <w:t xml:space="preserve">Parr, R. G.; Szentpály, L. v.; Liu, S. Electrophilicity Index. Journal of the American Chemical Society 1999, 121 (9), 1922-1924. </w:t>
      </w:r>
      <w:r>
        <w:rPr>
          <w:i/>
          <w:color w:val="1565C0"/>
          <w:sz w:val="18"/>
        </w:rPr>
        <w:t>doi:10.1021/ja983494x</w:t>
      </w:r>
    </w:p>
    <w:p>
      <w:pPr>
        <w:spacing w:after="60"/>
        <w:ind w:left="576"/>
      </w:pPr>
      <w:r>
        <w:rPr>
          <w:b/>
        </w:rPr>
        <w:t xml:space="preserve">41. </w:t>
      </w:r>
      <w:r>
        <w:t xml:space="preserve">Hopkins, A. L.; Groom, C. R.; Alex, A. Ligand efficiency: a useful metric for lead selection. Drug Discovery Today 2004, 9 (10), 430-431. </w:t>
      </w:r>
      <w:r>
        <w:rPr>
          <w:i/>
          <w:color w:val="1565C0"/>
          <w:sz w:val="18"/>
        </w:rPr>
        <w:t>doi:10.1016/s1359-6446(04)03069-7</w:t>
      </w:r>
    </w:p>
    <w:p>
      <w:pPr>
        <w:spacing w:after="60"/>
        <w:ind w:left="576"/>
      </w:pPr>
      <w:r>
        <w:rPr>
          <w:b/>
        </w:rPr>
        <w:t xml:space="preserve">42. </w:t>
      </w:r>
      <w:r>
        <w:t xml:space="preserve">Kramer, C.; Gedeck, P. Leave-many-out cross-validation and the applicability domain of QSAR models. J. Chem. Inf. Model. 2012, 52 (3), 697–707. </w:t>
      </w:r>
      <w:r>
        <w:rPr>
          <w:i/>
          <w:color w:val="1565C0"/>
          <w:sz w:val="18"/>
        </w:rPr>
        <w:t>doi:10.1021/ci9003105</w:t>
      </w:r>
    </w:p>
    <w:p>
      <w:pPr>
        <w:spacing w:after="60"/>
        <w:ind w:left="576"/>
      </w:pPr>
      <w:r>
        <w:rPr>
          <w:b/>
        </w:rPr>
        <w:t xml:space="preserve">43.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1565C0"/>
          <w:sz w:val="18"/>
        </w:rPr>
        <w:t>doi:10.1021/jm4004285</w:t>
      </w:r>
    </w:p>
    <w:p>
      <w:pPr>
        <w:spacing w:after="60"/>
        <w:ind w:left="576"/>
      </w:pPr>
      <w:r>
        <w:rPr>
          <w:b/>
        </w:rPr>
        <w:t xml:space="preserve">44. </w:t>
      </w:r>
      <w:r>
        <w:t xml:space="preserve">Veber, D. F.; Johnson, S. R.; Cheng, H. Y.; Smith, B. R.; Ward, K. W.; Kopple, K. D. Molecular Properties That Influence the Oral Bioavailability of Drug Candidates. Journal of Medicinal Chemistry 2002, 45 (12), 2615-2623. </w:t>
      </w:r>
      <w:r>
        <w:rPr>
          <w:i/>
          <w:color w:val="1565C0"/>
          <w:sz w:val="18"/>
        </w:rPr>
        <w:t>doi:10.1021/jm020017n</w:t>
      </w:r>
    </w:p>
    <w:p>
      <w:pPr>
        <w:spacing w:after="60"/>
        <w:ind w:left="576"/>
      </w:pPr>
      <w:r>
        <w:rPr>
          <w:b/>
        </w:rPr>
        <w:t xml:space="preserve">45.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1565C0"/>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