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-3.96 to -8.94 kcal/mol (mean -7.16), with recurrent contacts at Asp392, His394, Arg427 and Thr391. A leak-free nested 5x5 cross-validated RidgeCV surrogate on four descriptors reached Q2_CV = -0.64 for the EGFR Vina docking score and 0.10 for the pristine-MXene interaction energy - neither endpoint is predictive;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35 therapeutics against EGFR (PDB 4ZAU) gave scores from -3.96 to -8.94 kcal/mol (mean -7.16 kcal/mol). The highest-ranked compounds were entrectinib (-8.94), sorafenib (-8.66), trametinib (-8.50), cobimetinib (-8.49) and cabozantinib (-8.29 kcal/mol).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35-compound master table, reached Q2_CV = -0.64 for the EGFR docking score and 0.10 for the pristine-MXene interaction-energy model, with RMSE of 0.54 and 3.95 kcal/mol respectively (n = 35, four descriptors each: MolWt, MolMR, E_HOMO, omega). The pristine-MXene model is therefore only weakly predictive, and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