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</w:pPr>
      <w:r>
        <w:rPr>
          <w:b/>
          <w:color w:val="1565C0"/>
          <w:sz w:val="32"/>
        </w:rPr>
        <w:t>Explainable AI and Quantum Chemical Exploration of 2D Titanium Carbide MXene (Ti3C2Tx) Nanosheets as Targeted Nanovehicles for Glioblastoma Therapeutics Across the Blood-Brain Barrier</w:t>
      </w:r>
    </w:p>
    <w:p>
      <w:pPr>
        <w:spacing w:after="80"/>
      </w:pPr>
      <w:r>
        <w:rPr>
          <w:b/>
        </w:rPr>
        <w:t>Andrés Monreal Hernández</w:t>
      </w:r>
      <w:r>
        <w:t xml:space="preserve">1,*, </w:t>
      </w:r>
      <w:r>
        <w:rPr>
          <w:b/>
        </w:rPr>
        <w:t>Sara Lizbeth Franco Amaya</w:t>
      </w:r>
      <w:r>
        <w:t xml:space="preserve">2, and </w:t>
      </w:r>
      <w:r>
        <w:rPr>
          <w:b/>
        </w:rPr>
        <w:t>Carlos Ivanhoe Martínez Osorio</w:t>
      </w:r>
      <w:r>
        <w:t>3</w:t>
      </w:r>
    </w:p>
    <w:p>
      <w:pPr>
        <w:spacing w:after="280"/>
      </w:pPr>
      <w:r>
        <w:rPr>
          <w:i/>
          <w:sz w:val="19"/>
        </w:rPr>
        <w:t>1 Universidad Estatal de Sonora, Hermosillo, Sonora, Mexico. ORCID: 0009-0009-1207-8597</w:t>
        <w:br/>
        <w:t>2 Doctorado en Nanotecnología, Universidad de Sonora, Hermosillo, Sonora, Mexico. ORCID: 0009-0005-0272-0241</w:t>
        <w:br/>
        <w:t>3 Doctorado en Ciencia de Materiales, Universidad de Sonora, Hermosillo, Sonora, Mexico. ORCID: 0009-0003-7872-4965</w:t>
        <w:br/>
        <w:t>* Corresponding author: andres.monreal@ues.mx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70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raphical_abstr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0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Graphical Abstract: </w:t>
      </w:r>
      <w:r>
        <w:rPr>
          <w:i/>
          <w:sz w:val="19"/>
        </w:rPr>
        <w:t xml:space="preserve"> Atomistic, Quantum, and Machine Learning Framework for 2D Ti3C2Tx MXene Targeted Delivery Across the BBB in Glioblastoma.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Abstract</w:t>
      </w:r>
    </w:p>
    <w:p>
      <w:pPr>
        <w:spacing w:after="160"/>
      </w:pPr>
      <w:r>
        <w:rPr>
          <w:b/>
        </w:rPr>
        <w:t xml:space="preserve">Context </w:t>
      </w:r>
      <w:r>
        <w:t>Glioblastoma multiforme (GBM) is the most lethal primary malignant central nervous system neoplasm in adults, with a median survival below 15 months, driven by therapeutic resistance and the restrictive physiology of the blood-brain barrier. We evaluate 2D Ti3C2Tx MXene as a candidate delivery scaffold for 35 clinical CNS and GBM therapeutics, combining GFN2-xTB quantum chemistry, AutoDock Vina docking against the EGFR kinase domain, and a leak-free cross-validated Nano-QSAR surrogate. Real GFN2-xTB interaction energies on the pristine Ti3C2O2 cluster range from -0.9 to -15.5 kcal/mol. Docking gave Vina scores of -3.83 to -9.18 kcal/mol (mean -7.11), with the surrogate reaching Q2_CV = 0.31 for the docking score and 0.10 for the MXene interaction energy -- at best weakly predictive, reported as exploratory. OECD Principle 3 applicability-domain analysis places all 35 compounds inside the domain in both systems.</w:t>
      </w:r>
    </w:p>
    <w:p>
      <w:pPr>
        <w:spacing w:after="160"/>
      </w:pPr>
      <w:r>
        <w:rPr>
          <w:b/>
        </w:rPr>
        <w:t xml:space="preserve">Methods </w:t>
      </w:r>
      <w:r>
        <w:t>Each isolated drug, the pristine Ti3C2O2 MXene cluster, and every complex were geometry-optimized and evaluated at single point with GFN2-xTB (xtb v6.7.1, D4 dispersion); frontier-orbital and conceptual-DFT reactivity indices were read directly from the xtb output. The human EGFR kinase domain (PDB ID: 4ZAU, 2.80 Å; 2J6M as a secondary control) was docked with AutoDock Vina v1.2.7, benchmarked by self-redocking of the co-crystallized ligand. A StandardScaler+RidgeCV surrogate was trained inside a leak-free nested 5×5 cross-validation, with feature importance inspected via an ExtraTrees estimator and SHAP; the applicability domain follows OECD Principle 3 (Williams-leverage analysis).</w:t>
      </w:r>
    </w:p>
    <w:p>
      <w:pPr>
        <w:spacing w:after="280"/>
      </w:pPr>
      <w:r>
        <w:rPr>
          <w:b/>
        </w:rPr>
        <w:t xml:space="preserve">Keywords: </w:t>
      </w:r>
      <w:r/>
      <w:r>
        <w:t>2D MXene (Ti3C2Tx); Glioblastoma; Blood-Brain Barrier; EGFR Kinase; AutoDock Vina; Explainable AI (SHAP).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1. Introduction</w:t>
      </w:r>
    </w:p>
    <w:p>
      <w:r>
        <w:t>Glioblastoma (GBM, WHO grade IV astrocytoma) is the most aggressive primary brain tumor in adults. Standard-of-care - maximal surgical resection, temozolomide chemotherapy and radiotherapy [1,2] - is almost invariably followed by recurrence, and MGMT-promoter methylation status modulates the temozolomide benefit [8]. A foundational barrier to clinical efficacy is the blood-brain barrier (BBB), which excludes the large majority of small-molecule therapeutics and nearly all large biologics from the brain parenchyma [9,10].</w:t>
      </w:r>
    </w:p>
    <w:p>
      <w:r>
        <w:t>Overexpression and genomic amplification of the epidermal growth factor receptor (EGFR) and its constitutively active deletion mutant EGFRvIII occur in a large fraction of GBM patients and drive proliferation, invasion and neo-angiogenesis [4,6,7]. Systemic administration of EGFR tyrosine kinase inhibitors (TKIs) such as osimertinib, gefitinib and erlotinib is compromised by poor BBB penetration and rapid systemic clearance [10,13].</w:t>
      </w:r>
    </w:p>
    <w:p>
      <w:r>
        <w:t>Two-dimensional transition-metal carbides and nitrides (MXenes), represented by titanium carbide (Ti3C2Tx) [21,22], combine metallic conductivity, hydrophilic surface terminations (-O, -OH, -F) and rich transition-metal coordination chemistry, and have been explored for nanomedicine [23-25]. Surface modification with Angiopep-2 peptides targeting low-density lipoprotein receptor-related protein 1 (LRP-1) has been proposed to promote transcytosis across the BBB; in the present study this functionalized carrier is treated only as a prospective extension (see Conclusions), and all quantum and docking results refer to the pristine Ti3C2O2 surface.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18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bm_workflow_method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1: </w:t>
      </w:r>
      <w:r>
        <w:rPr>
          <w:i/>
          <w:sz w:val="19"/>
        </w:rPr>
        <w:t xml:space="preserve"> Multi-scale computational workflow: GFN2-xTB quantum-chemical adsorption on pristine Ti3C2O2, real AutoDock Vina docking (PDB 4ZAU / 2J6M), and a leak-free cross-validated explainable Nano-QSAR surrogate for 2D Ti3C2Tx MXene glioblastoma delivery.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2. Experimental</w:t>
      </w:r>
    </w:p>
    <w:p>
      <w:r>
        <w:t>2.1 Quantum-chemical framework: Each isolated drug, the pristine oxygen-terminated Ti3C2O2 MXene cluster, and every drug-MXene complex were geometry-optimized and evaluated at single point with GFN2-xTB (xtb v6.7.1) including the D4 dispersion correction [26,27]. The standardized single-point interaction energy is Delta_E_int,SP = E(complex) - E(MXene) - E(drug), with both fragments taken at the complex geometry. Frontier-orbital energies (E_HOMO, E_LUMO) and conceptual-DFT global reactivity indices - chemical hardness (eta = gap/2), softness (S), electronegativity (chi) and electrophilicity index (omega = mu^2/2eta) [36,37] - were read directly from the xtb output; no descriptor is estimated from an empirical formula.</w:t>
      </w:r>
    </w:p>
    <w:p>
      <w:r>
        <w:t>2.2 Molecular docking: The X-ray crystal structure of the human EGFR kinase domain (PDB ID: 4ZAU, 2.80 Å) was used as the primary receptor, with 2J6M as a secondary control. Receptor and ligands were protonated at pH 7.4 and converted to PDBQT with Meeko; rigid-receptor flexible-ligand docking used AutoDock Vina v1.2.7 [28,29] over a 22 x 22 x 22 Å grid centred on the ATP pocket. Because self-redocking of the co-crystallized ligand reproduced the native pose only within 5.32 Å heavy-atom RMSD, the docking scores are reported as an exploratory ranking rather than a quantitative endpoint.</w:t>
      </w:r>
    </w:p>
    <w:p>
      <w:r>
        <w:t>2.3 Surrogate model and applicability domain: A regularized linear model (StandardScaler + RidgeCV) was trained inside a leak-free nested 5x5 cross-validation on the real observed data. Feature importance was inspected with an ExtraTrees estimator and Shapley Additive Explanations (SHAP) [35] and is reported as exploratory only. The applicability domain follows OECD Principle 3 [31-33] via hat-matrix leverage (Williams plot) with warning leverage h* = 3(p+1)/n and +/-3sigma standardized-residual limits.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3. Results and Discussion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3.1 Quantum Adsorption Energetics &amp; MXene Surface Chemistry</w:t>
      </w:r>
    </w:p>
    <w:p>
      <w:r>
        <w:t>Real GFN2-xTB single-point interaction energies (Delta_E_int,SP) across all 35 therapeutics on the pristine Ti3C2O2 cluster range from -0.9 kcal/mol for the most weakly interacting compounds to -15.5 kcal/mol for the most strongly stabilized (larotrectinib -15.5; temozolomide -13.4; lomustine -12.8 kcal/mol), consistent with dispersion-dominated physisorption of the drug pi-systems on the oxygen-terminated titanium-carbide surface.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56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bm_quantum_cdf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2: </w:t>
      </w:r>
      <w:r>
        <w:rPr>
          <w:i/>
          <w:sz w:val="19"/>
        </w:rPr>
        <w:t xml:space="preserve"> Real Quantum CDFT Electronic Reactivity of the Isolated GBM Therapeutics (real GFN2-xTB single points, n=35): (a) Frontier Molecular Orbital (HOMO/LUMO) distribution; (b) Chemical hardness vs. electrophilicity index. No real complex-level frontier-orbital calculation exists for either MXene variant.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3.2 Molecular docking against the EGFR kinase domain</w:t>
      </w:r>
    </w:p>
    <w:p>
      <w:r>
        <w:t>AutoDock Vina v1.2.7 screening of the 33 therapeutics against EGFR (PDB 4ZAU) gave scores from -3.83 to -9.18 kcal/mol (mean -7.11 kcal/mol). The highest-ranked compounds were Cobimetinib (-9.18), Dabrafenib (-8.96), Cabozantinib (-8.81), Entrectinib (-8.66), Trametinib (-8.25) kcal/mol. Because self-redocking reproduced the native pose only within 5.32 Å RMSD, this ranking is treated as exploratory and is not used as a QSAR endpoint.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479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bm_docking_vina_statistical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7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3: </w:t>
      </w:r>
      <w:r>
        <w:rPr>
          <w:i/>
          <w:sz w:val="19"/>
        </w:rPr>
        <w:t xml:space="preserve"> Molecular docking statistical profiles on the EGFR kinase domain (PDB 4ZAU; exploratory, redocking RMSD 5.32 Å): (a) distribution of real Vina scores; (b) ranking of the top-10 compounds.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4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bm_residue_contact_frequ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4: </w:t>
      </w:r>
      <w:r>
        <w:rPr>
          <w:i/>
          <w:sz w:val="19"/>
        </w:rPr>
        <w:t xml:space="preserve"> Residue-level contact frequencies on the EGFR kinase domain (real Vina poses, contact distance &lt;= 3.8 Å): most frequent contacts are Asp392, His394, Arg427, Thr391 and Arg390.</w:t>
      </w:r>
    </w:p>
    <w:p/>
    <w:p>
      <w:r>
        <w:rPr>
          <w:b/>
          <w:sz w:val="20"/>
        </w:rPr>
        <w:t>Table 1: Physicochemical, Topological, and Quantum CDFT Descriptors for Representative GBM Therapeutics.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Compound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MW (g/mol)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LogP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PSA (Å²)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E_HOMO (eV)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omega (eV)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Temozolomide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Alkylating Agent (Gold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194.2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-1.85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119.5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-10.94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56.21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Lomustine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Nitrosourea Alkylator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233.7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2.25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61.8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-10.78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64.37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Carmustine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Nitrosourea Alkylator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214.1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1.16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61.8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-11.40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65.67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Procarbazine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Hydrazine Alkylator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206.3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41.1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-9.17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29.27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Nimustine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 xml:space="preserve">Nitrosourea Alkylator 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271.7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1.60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100.7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-10.35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96.90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Osimertinib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 xml:space="preserve">3rd-Gen EGFR/EGFRvIII 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499.6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87.5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-9.13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31.19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Gefitinib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EGFR TKI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446.9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4.28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68.7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-9.62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45.34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Erlotinib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EGFR TKI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393.4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3.40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74.7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-9.85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36.90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Afatinib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Pan-ErbB/EGFR TKI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485.9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4.39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88.6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-9.98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39.93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Dacomitinib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2nd-Gen EGFR TKI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469.9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5.16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79.4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-9.45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48.91</w:t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3.3 Nano-QSAR surrogate model and feature importance</w:t>
      </w:r>
    </w:p>
    <w:p>
      <w:r>
        <w:t>A StandardScaler + RidgeCV surrogate evaluated by leak-free nested 5x5 cross-validation on the real observed data (isolated Vina scores; and the real GFN2-xTB Delta_E_int,SP on the pristine Ti3C2O2 MXene), both on the single 33-compound master table, reached Q2_CV = 0.31 for the EGFR docking score and 0.10 for the pristine-MXene interaction-energy model (n = 33, four descriptors each: MolWt, MolMR, E_HOMO, omega). The EGFR docking model is at best weakly predictive and the pristine-MXene model is not, so the exploratory ExtraTrees feature-importance ranking (Figure 6) - led by molecular weight and molar refractivity - is reported as a qualitative indication rather than a validated structure-property relationship [39,40].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99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gbm_parity_models_evalu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5: </w:t>
      </w:r>
      <w:r>
        <w:rPr>
          <w:i/>
          <w:sz w:val="19"/>
        </w:rPr>
        <w:t xml:space="preserve"> Leak-free nested 5x5 CV parity plots (real observed vs out-of-fold predicted) for Isolated and Pristine-MXene systems. No real structural/quantum data exists for the functionalized Ti3C2-Angiopep-2 system, so it is not shown.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075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gbm_shap_xai_importance_rank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7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6: </w:t>
      </w:r>
      <w:r>
        <w:rPr>
          <w:i/>
          <w:sz w:val="19"/>
        </w:rPr>
        <w:t xml:space="preserve"> Exploratory Feature Importance Rankings on the real GFN2-xTB pristine-MXene interaction energy, identifying molecular weight and molar refractivity as the leading descriptors.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9606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bm_descriptor_correlat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6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7: </w:t>
      </w:r>
      <w:r>
        <w:rPr>
          <w:i/>
          <w:sz w:val="19"/>
        </w:rPr>
        <w:t xml:space="preserve"> Pearson inter-descriptor correlation heatmap (real descriptor matrix, 35 GBM therapeutics).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3.4 Applicability domain (OECD Principle 3)</w:t>
      </w:r>
    </w:p>
    <w:p>
      <w:r>
        <w:t>The applicability domain was assessed by hat-matrix leverage on the real descriptor matrix (Williams plot) [31-33]. With the full descriptor set the warning leverage is h* = 1.80 for the isolated-drug system (20 descriptors) and h* = 0.77 for the pristine-MXene system (8 descriptors); all 35 compounds fall inside the domain (leverage below h* and standardized residual within +/-3sigma) in both cases.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016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gbm_williams_applicability_dom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8: </w:t>
      </w:r>
      <w:r>
        <w:rPr>
          <w:i/>
          <w:sz w:val="19"/>
        </w:rPr>
        <w:t xml:space="preserve"> OECD Principle 3: Williams Plots Defining the Applicability Domain for GBM Therapeutics on Ti3C2Tx MXene Nanosheets (real data only; Isolated and Pristine-MXene systems).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3.5 Representative binding modes</w:t>
      </w:r>
    </w:p>
    <w:p>
      <w:r>
        <w:t>Inspection of the top-ranked docked poses on EGFR (PDB 4ZAU) shows the inhibitors occupying the ATP cleft with contacts to the residues in Figure 4 (Asp392, His394, Arg427, Thr391). On the pristine Ti3C2O2 surface the strongest-binding drugs lie flat against the oxygen termination, consistent with the dispersion-dominated interaction energies of Section 3.1.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26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gbm_3d_spatial_binding_mo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6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9: </w:t>
      </w:r>
      <w:r>
        <w:rPr>
          <w:i/>
          <w:sz w:val="19"/>
        </w:rPr>
        <w:t xml:space="preserve"> Representative binding modes (schematic): (a-b) top-ranked inhibitors in the EGFR ATP cleft (PDB 4ZAU); (c) a drug on the pristine Ti3C2O2 MXene surface with its real GFN2-xTB Delta_E_int,SP.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3.6 Interfacial charge redistribution</w:t>
      </w:r>
    </w:p>
    <w:p>
      <w:r>
        <w:t>The charge-density difference Delta_rho = rho(complex) - rho(carrier) - rho(drug) was computed from the real GFN2-xTB densities of the strongest-adsorbing complex (Larotrectinib / Ti3C2O2), all fragments at the bound geometry on a common grid (Figure 10). Accumulation (yellow) and depletion (blue) lobes concentrate at the drug oxygen / ester functionality facing the oxygen-terminated MXene, where the drug-surface separation is shortest, while the rest of the drug is essentially unperturbed. This localised reorganisation is consistent with the moderate interaction energy of this complex (Delta_E_int,SP = -15.5 kcal/mol), the largest in the set. The Delta_rho cube and its build script are in results/quantum/drho/.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301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gbm_charge_density_differ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30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10: </w:t>
      </w:r>
      <w:r>
        <w:rPr>
          <w:i/>
          <w:sz w:val="19"/>
        </w:rPr>
        <w:t xml:space="preserve"> Charge-density difference (real GFN2-xTB densities) for the Larotrectinib / Ti3C2O2 MXene complex. Isovalue +/-0.006 e bohr^-3; yellow = electron accumulation, blue = electron depletion. Delta_E_int,SP = -15.5 kcal/mol.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4. Summary</w:t>
      </w:r>
    </w:p>
    <w:p>
      <w:r>
        <w:t>We report a quantum-informed, explainable Nano-QSAR analysis of 2D Ti3C2Tx MXene as a candidate delivery scaffold for glioblastoma therapeutics. Combining real GFN2-xTB single-point interaction energies, exploratory AutoDock Vina docking against the EGFR kinase domain (PDB 4ZAU), and a leak-free cross-validated RidgeCV surrogate assessed under OECD guidelines, we find that the pristine Ti3C2O2 surface binds all 35 screened therapeutics by dispersion-dominated physisorption (Delta_E_int,SP = -0.9 to -15.5 kcal/mol). The surrogate is only weakly predictive for the MXene interaction energy, so the descriptor rankings are presented as exploratory. An Angiopep-2-functionalized MXene for LRP-1-mediated BBB transcytosis is a natural extension but is outside the present scope: it has no real structural or quantum data here and would require dedicated complex-geometry modeling.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Data Availability</w:t>
      </w:r>
    </w:p>
    <w:p>
      <w:r>
        <w:t>All code, the curated dataset, the real GFN2-xTB and AutoDock Vina outputs, the leak-free cross-validation predictions and the figure/manuscript generators are in the public repository https://github.com/sircalch/mxene-glioblastoma-qsar-ai and the Zenodo deposit 10.5281/zenodo.22187857. run_entire_gbm_study.py reproduces every value and figure.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Conflict of Interest</w:t>
      </w:r>
    </w:p>
    <w:p>
      <w:r>
        <w:t>The authors declare no competing financial or non-financial interest.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Supporting Information</w:t>
      </w:r>
    </w:p>
    <w:p>
      <w:r>
        <w:rPr>
          <w:b/>
        </w:rPr>
        <w:t xml:space="preserve">Supporting Information File 1: </w:t>
      </w:r>
      <w:r>
        <w:t>GBM_MXene_Supporting_Information.docx — curated dataset (N = 35), formal charges, OECD checklist and per-residue contact frequencies</w:t>
      </w:r>
    </w:p>
    <w:p>
      <w:r>
        <w:t>The complete input/output archive (curated dataset, GFN2-xTB and docking outputs, cross-validation predictions, figure-generation and manuscript scripts) is in the public repository and Zenodo deposit cited under Data Availability; every value in this article is reproduced by run_entire_*_study.py.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Funding</w:t>
      </w:r>
    </w:p>
    <w:p>
      <w:r>
        <w:t>This work was supported by Universidad Estatal de Sonora and the Doctorado en Nanotecnología, Universidad de Sonora. No external grant funding was received.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Acknowledgements</w:t>
      </w:r>
    </w:p>
    <w:p>
      <w:r>
        <w:t>The authors thank the computational resources of Universidad Estatal de Sonora and Universidad de Sonora.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Author Contributions</w:t>
      </w:r>
    </w:p>
    <w:p>
      <w:r>
        <w:t>Andrés Monreal Hernández: conceptualization, methodology, software, formal analysis, investigation, data curation, visualization, writing – original draft. Sara Lizbeth Franco Amaya: validation, writing – review and editing. Carlos Ivanhoe Martínez Osorio: supervision, writing – review and editing. All authors read and approved the final manuscript.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ORCID iDs</w:t>
      </w:r>
    </w:p>
    <w:p>
      <w:r>
        <w:t>Andrés Monreal Hernández – https://orcid.org/0009-0009-1207-8597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References</w:t>
      </w:r>
    </w:p>
    <w:p>
      <w:pPr>
        <w:spacing w:after="60"/>
        <w:ind w:left="576"/>
      </w:pPr>
      <w:r>
        <w:rPr>
          <w:b/>
        </w:rPr>
        <w:t xml:space="preserve">1. </w:t>
      </w:r>
      <w:r>
        <w:t xml:space="preserve">Stupp, R.; Mason, W. P.; van den Bent, M. J.; Weller, M.; Fisher, B.; Taphoorn, M. J.; Belanger, K.; Brandes, A. A.; Marosi, C.; Bogdahn, U.; et al. Radiotherapy plus Concomitant and Adjuvant Temozolomide for Glioblastoma. New England Journal of Medicine 2005, 352 (10), 987-996. </w:t>
      </w:r>
      <w:r>
        <w:rPr>
          <w:i/>
          <w:color w:val="1565C0"/>
          <w:sz w:val="18"/>
        </w:rPr>
        <w:t>doi:10.1056/nejmoa043330</w:t>
      </w:r>
    </w:p>
    <w:p>
      <w:pPr>
        <w:spacing w:after="60"/>
        <w:ind w:left="576"/>
      </w:pPr>
      <w:r>
        <w:rPr>
          <w:b/>
        </w:rPr>
        <w:t xml:space="preserve">2. </w:t>
      </w:r>
      <w:r>
        <w:t xml:space="preserve">Stupp, R.; Hegi, M. E.; Mason, W. P.; van den Bent, M. J.; Taphoorn, M. J.; Janzer, R. C.; Ludwin, S. K.; Allgeier, A.; Fisher, B.; Belanger, K.; et al. Effects of radiotherapy with concomitant and adjuvant temozolomide versus radiotherapy alone on survival in glioblastoma in a randomised phase III study: 5-year analysis of the EORTC-NCIC trial. The Lancet Oncology 2009, 10 (5), 459-466. </w:t>
      </w:r>
      <w:r>
        <w:rPr>
          <w:i/>
          <w:color w:val="1565C0"/>
          <w:sz w:val="18"/>
        </w:rPr>
        <w:t>doi:10.1016/s1470-2045(09)70025-7</w:t>
      </w:r>
    </w:p>
    <w:p>
      <w:pPr>
        <w:spacing w:after="60"/>
        <w:ind w:left="576"/>
      </w:pPr>
      <w:r>
        <w:rPr>
          <w:b/>
        </w:rPr>
        <w:t xml:space="preserve">3. </w:t>
      </w:r>
      <w:r>
        <w:t xml:space="preserve">Weller, M.; van den Bent, M.; Preusser, M.; Le Rhun, E.; Tonn, J. C.; Minniti, G.; Bendszus, M.; Balana, C.; Chinot, O.; Dirven, L.; et al. EANO guidelines on the diagnosis and treatment of diffuse gliomas of adulthood. Nature Reviews Clinical Oncology 2020, 18 (3), 170-186. </w:t>
      </w:r>
      <w:r>
        <w:rPr>
          <w:i/>
          <w:color w:val="1565C0"/>
          <w:sz w:val="18"/>
        </w:rPr>
        <w:t>doi:10.1038/s41571-020-00447-z</w:t>
      </w:r>
    </w:p>
    <w:p>
      <w:pPr>
        <w:spacing w:after="60"/>
        <w:ind w:left="576"/>
      </w:pPr>
      <w:r>
        <w:rPr>
          <w:b/>
        </w:rPr>
        <w:t xml:space="preserve">4. </w:t>
      </w:r>
      <w:r>
        <w:t xml:space="preserve">Brennan, C.; Verhaak, R.; McKenna, A.; Campos, B.; Noushmehr, H.; Salama, S.; Zheng, S.; Chakravarty, D.; Sanborn, J.; Berman, S.; et al. The Somatic Genomic Landscape of Glioblastoma. Cell 2013, 155 (2), 462-477. </w:t>
      </w:r>
      <w:r>
        <w:rPr>
          <w:i/>
          <w:color w:val="1565C0"/>
          <w:sz w:val="18"/>
        </w:rPr>
        <w:t>doi:10.1016/j.cell.2013.09.034</w:t>
      </w:r>
    </w:p>
    <w:p>
      <w:pPr>
        <w:spacing w:after="60"/>
        <w:ind w:left="576"/>
      </w:pPr>
      <w:r>
        <w:rPr>
          <w:b/>
        </w:rPr>
        <w:t xml:space="preserve">5. </w:t>
      </w:r>
      <w:r>
        <w:t xml:space="preserve">Yarden, Y.; Pines, G. The ERBB network: at last, cancer therapy meets systems biology. Nature Reviews Cancer 2012, 12 (8), 553-563. </w:t>
      </w:r>
      <w:r>
        <w:rPr>
          <w:i/>
          <w:color w:val="1565C0"/>
          <w:sz w:val="18"/>
        </w:rPr>
        <w:t>doi:10.1038/nrc3309</w:t>
      </w:r>
    </w:p>
    <w:p>
      <w:pPr>
        <w:spacing w:after="60"/>
        <w:ind w:left="576"/>
      </w:pPr>
      <w:r>
        <w:rPr>
          <w:b/>
        </w:rPr>
        <w:t xml:space="preserve">6. </w:t>
      </w:r>
      <w:r>
        <w:t xml:space="preserve">Furnari, F. B.; Cloughesy, T. F.; Cavenee, W. K.; Mischel, P. S. Heterogeneity of epidermal growth factor receptor signalling networks in glioblastoma. Nature Reviews Cancer 2015, 15 (5), 302-310. </w:t>
      </w:r>
      <w:r>
        <w:rPr>
          <w:i/>
          <w:color w:val="1565C0"/>
          <w:sz w:val="18"/>
        </w:rPr>
        <w:t>doi:10.1038/nrc3918</w:t>
      </w:r>
    </w:p>
    <w:p>
      <w:pPr>
        <w:spacing w:after="60"/>
        <w:ind w:left="576"/>
      </w:pPr>
      <w:r>
        <w:rPr>
          <w:b/>
        </w:rPr>
        <w:t xml:space="preserve">7. </w:t>
      </w:r>
      <w:r>
        <w:t xml:space="preserve">Vivanco, I.; Robins, H. I.; Rohle, D.; Campos, C.; Grommes, C.; Nghiemphu, P. L.; Kubek, S.; Oldrini, B.; Chheda, M. G.; Yannuzzi, N.; et al. Differential Sensitivity of Glioma- versus Lung Cancer–Specific EGFR Mutations to EGFR Kinase Inhibitors. Cancer Discovery 2012, 2 (5), 458-471. </w:t>
      </w:r>
      <w:r>
        <w:rPr>
          <w:i/>
          <w:color w:val="1565C0"/>
          <w:sz w:val="18"/>
        </w:rPr>
        <w:t>doi:10.1158/2159-8290.cd-11-0284</w:t>
      </w:r>
    </w:p>
    <w:p>
      <w:pPr>
        <w:spacing w:after="60"/>
        <w:ind w:left="576"/>
      </w:pPr>
      <w:r>
        <w:rPr>
          <w:b/>
        </w:rPr>
        <w:t xml:space="preserve">8. </w:t>
      </w:r>
      <w:r>
        <w:t xml:space="preserve">Hegi, M. E.; Diserens, A. C.; Gorlia, T.; Hamou, M. F.; de Tribolet, N.; Weller, M.; Kros, J. M.; Hainfellner, J. A.; Mason, W.; Mariani, L.; et al. MGMT Gene Silencing and Benefit from Temozolomide in Glioblastoma. New England Journal of Medicine 2005, 352 (10), 997-1003. </w:t>
      </w:r>
      <w:r>
        <w:rPr>
          <w:i/>
          <w:color w:val="1565C0"/>
          <w:sz w:val="18"/>
        </w:rPr>
        <w:t>doi:10.1056/nejmoa043331</w:t>
      </w:r>
    </w:p>
    <w:p>
      <w:pPr>
        <w:spacing w:after="60"/>
        <w:ind w:left="576"/>
      </w:pPr>
      <w:r>
        <w:rPr>
          <w:b/>
        </w:rPr>
        <w:t xml:space="preserve">9. </w:t>
      </w:r>
      <w:r>
        <w:t xml:space="preserve">van Tellingen, O.; Yetkin-Arik, B.; de Gooijer, M.; Wesseling, P.; Wurdinger, T.; de Vries, H. Overcoming the blood–brain tumor barrier for effective glioblastoma treatment. Drug Resistance Updates 2015, 19, 1-12. </w:t>
      </w:r>
      <w:r>
        <w:rPr>
          <w:i/>
          <w:color w:val="1565C0"/>
          <w:sz w:val="18"/>
        </w:rPr>
        <w:t>doi:10.1016/j.drup.2015.02.002</w:t>
      </w:r>
    </w:p>
    <w:p>
      <w:pPr>
        <w:spacing w:after="60"/>
        <w:ind w:left="576"/>
      </w:pPr>
      <w:r>
        <w:rPr>
          <w:b/>
        </w:rPr>
        <w:t xml:space="preserve">10. </w:t>
      </w:r>
      <w:r>
        <w:t xml:space="preserve">Sarkaria, J. N.; Hu, L. S.; Parney, I. F.; Pafundi, D. H.; Brinkmann, D. H.; Laack, N. N.; Giannini, C.; Burns, T. C.; Kizilbash, S. H.; Laramy, J. K.; et al. Is the blood–brain barrier really disrupted in all glioblastomas? A critical assessment of existing clinical data. Neuro-Oncology 2017, 20 (2), 184-191. </w:t>
      </w:r>
      <w:r>
        <w:rPr>
          <w:i/>
          <w:color w:val="1565C0"/>
          <w:sz w:val="18"/>
        </w:rPr>
        <w:t>doi:10.1093/neuonc/nox175</w:t>
      </w:r>
    </w:p>
    <w:p>
      <w:pPr>
        <w:spacing w:after="60"/>
        <w:ind w:left="576"/>
      </w:pPr>
      <w:r>
        <w:rPr>
          <w:b/>
        </w:rPr>
        <w:t xml:space="preserve">11. </w:t>
      </w:r>
      <w:r>
        <w:t xml:space="preserve">Yun, C. H.; Boggon, T. J.; Li, Y.; Woo, M. S.; Greulich, H.; Meyerson, M.; Eck, M. J. Structures of Lung Cancer-Derived EGFR Mutants and Inhibitor Complexes: Mechanism of Activation and Insights into Differential Inhibitor Sensitivity. Cancer Cell 2007, 11 (3), 217-227. </w:t>
      </w:r>
      <w:r>
        <w:rPr>
          <w:i/>
          <w:color w:val="1565C0"/>
          <w:sz w:val="18"/>
        </w:rPr>
        <w:t>doi:10.1016/j.ccr.2006.12.017</w:t>
      </w:r>
    </w:p>
    <w:p>
      <w:pPr>
        <w:spacing w:after="60"/>
        <w:ind w:left="576"/>
      </w:pPr>
      <w:r>
        <w:rPr>
          <w:b/>
        </w:rPr>
        <w:t xml:space="preserve">12. </w:t>
      </w:r>
      <w:r>
        <w:t xml:space="preserve">Yosaatmadja, Y.; Silva, S.; Dickson, J. M.; Patterson, A. V.; Smaill, J. B.; Flanagan, J. U.; McKeage, M. J.; Squire, C. J. Binding mode of the breakthrough inhibitor AZD9291 to epidermal growth factor receptor revealed. Journal of Structural Biology 2015, 192 (3), 539-544. </w:t>
      </w:r>
      <w:r>
        <w:rPr>
          <w:i/>
          <w:color w:val="1565C0"/>
          <w:sz w:val="18"/>
        </w:rPr>
        <w:t>doi:10.1016/j.jsb.2015.10.018</w:t>
      </w:r>
    </w:p>
    <w:p>
      <w:pPr>
        <w:spacing w:after="60"/>
        <w:ind w:left="576"/>
      </w:pPr>
      <w:r>
        <w:rPr>
          <w:b/>
        </w:rPr>
        <w:t xml:space="preserve">13. </w:t>
      </w:r>
      <w:r>
        <w:t xml:space="preserve">Jänne, P. A.; Yang, J. C. H.; Kim, D. W.; Planchard, D.; Ohe, Y.; Ramalingam, S. S.; Ahn, M. J.; Kim, S. W.; Su, W. C.; Horn, L.; et al. AZD9291 in EGFR Inhibitor–Resistant Non–Small-Cell Lung Cancer. New England Journal of Medicine 2015, 372 (18), 1689-1699. </w:t>
      </w:r>
      <w:r>
        <w:rPr>
          <w:i/>
          <w:color w:val="1565C0"/>
          <w:sz w:val="18"/>
        </w:rPr>
        <w:t>doi:10.1056/nejmoa1411817</w:t>
      </w:r>
    </w:p>
    <w:p>
      <w:pPr>
        <w:spacing w:after="60"/>
        <w:ind w:left="576"/>
      </w:pPr>
      <w:r>
        <w:rPr>
          <w:b/>
        </w:rPr>
        <w:t xml:space="preserve">14. </w:t>
      </w:r>
      <w:r>
        <w:t xml:space="preserve">Stommel, J. M.; Kimmelman, A. C.; Ying, H.; Nabioullin, R.; Ponugoti, A. H.; Wiedemeyer, R.; Stegh, A. H.; Bradner, J. E.; Ligon, K. L.; Brennan, C.; et al. Coactivation of Receptor Tyrosine Kinases Affects the Response of Tumor Cells to Targeted Therapies. Science 2007, 318 (5848), 287-290. </w:t>
      </w:r>
      <w:r>
        <w:rPr>
          <w:i/>
          <w:color w:val="1565C0"/>
          <w:sz w:val="18"/>
        </w:rPr>
        <w:t>doi:10.1126/science.1142946</w:t>
      </w:r>
    </w:p>
    <w:p>
      <w:pPr>
        <w:spacing w:after="60"/>
        <w:ind w:left="576"/>
      </w:pPr>
      <w:r>
        <w:rPr>
          <w:b/>
        </w:rPr>
        <w:t xml:space="preserve">15. </w:t>
      </w:r>
      <w:r>
        <w:t xml:space="preserve">Mellinghoff, I. K.; Wang, M. Y.; Vivanco, I.; Haas-Kogan, D. A.; Zhu, S.; Dia, E. Q.; Lu, K. V.; Yoshimoto, K.; Huang, J. H.; Chute, D. J.; et al. Molecular Determinants of the Response of Glioblastomas to EGFR Kinase Inhibitors. New England Journal of Medicine 2005, 353 (19), 2012-2024. </w:t>
      </w:r>
      <w:r>
        <w:rPr>
          <w:i/>
          <w:color w:val="1565C0"/>
          <w:sz w:val="18"/>
        </w:rPr>
        <w:t>doi:10.1056/nejmoa051918</w:t>
      </w:r>
    </w:p>
    <w:p>
      <w:pPr>
        <w:spacing w:after="60"/>
        <w:ind w:left="576"/>
      </w:pPr>
      <w:r>
        <w:rPr>
          <w:b/>
        </w:rPr>
        <w:t xml:space="preserve">16. </w:t>
      </w:r>
      <w:r>
        <w:t xml:space="preserve">Cross, D. A.; Ashton, S. E.; Ghiorghiu, S.; Eberlein, C.; Nebhan, C. A.; Spitzler, P. J.; Orme, J. P.; Finlay, M. R. V.; Ward, R. A.; Mellor, M. J.; et al. AZD9291, an Irreversible EGFR TKI, Overcomes T790M-Mediated Resistance to EGFR Inhibitors in Lung Cancer. Cancer Discovery 2014, 4 (9), 1046-1061. </w:t>
      </w:r>
      <w:r>
        <w:rPr>
          <w:i/>
          <w:color w:val="1565C0"/>
          <w:sz w:val="18"/>
        </w:rPr>
        <w:t>doi:10.1158/2159-8290.cd-14-0337</w:t>
      </w:r>
    </w:p>
    <w:p>
      <w:pPr>
        <w:spacing w:after="60"/>
        <w:ind w:left="576"/>
      </w:pPr>
      <w:r>
        <w:rPr>
          <w:b/>
        </w:rPr>
        <w:t xml:space="preserve">17. </w:t>
      </w:r>
      <w:r>
        <w:t xml:space="preserve">Eck, M. J.; Yun, C. H. Structural and mechanistic underpinnings of the differential drug sensitivity of EGFR mutations in non-small cell lung cancer. Biochimica et Biophysica Acta (BBA) - Proteins and Proteomics 2010, 1804 (3), 559-566. </w:t>
      </w:r>
      <w:r>
        <w:rPr>
          <w:i/>
          <w:color w:val="1565C0"/>
          <w:sz w:val="18"/>
        </w:rPr>
        <w:t>doi:10.1016/j.bbapap.2009.12.010</w:t>
      </w:r>
    </w:p>
    <w:p>
      <w:pPr>
        <w:spacing w:after="60"/>
        <w:ind w:left="576"/>
      </w:pPr>
      <w:r>
        <w:rPr>
          <w:b/>
        </w:rPr>
        <w:t xml:space="preserve">18. </w:t>
      </w:r>
      <w:r>
        <w:t xml:space="preserve">Wang, S.; Cang, S.; Liu, D. Third-generation inhibitors targeting EGFR T790M mutation in advanced non-small cell lung cancer. Journal of Hematology &amp; Oncology 2016, 9 (1). </w:t>
      </w:r>
      <w:r>
        <w:rPr>
          <w:i/>
          <w:color w:val="1565C0"/>
          <w:sz w:val="18"/>
        </w:rPr>
        <w:t>doi:10.1186/s13045-016-0268-z</w:t>
      </w:r>
    </w:p>
    <w:p>
      <w:pPr>
        <w:spacing w:after="60"/>
        <w:ind w:left="576"/>
      </w:pPr>
      <w:r>
        <w:rPr>
          <w:b/>
        </w:rPr>
        <w:t xml:space="preserve">19. </w:t>
      </w:r>
      <w:r>
        <w:t xml:space="preserve">Veal, J. M. Practical Use of Computational Chemistry in Kinase Drug Discovery. Kinase Inhibitor Drugs 2009, 403-431. </w:t>
      </w:r>
      <w:r>
        <w:rPr>
          <w:i/>
          <w:color w:val="1565C0"/>
          <w:sz w:val="18"/>
        </w:rPr>
        <w:t>doi:10.1002/9780470524961.ch16</w:t>
      </w:r>
    </w:p>
    <w:p>
      <w:pPr>
        <w:spacing w:after="60"/>
        <w:ind w:left="576"/>
      </w:pPr>
      <w:r>
        <w:rPr>
          <w:b/>
        </w:rPr>
        <w:t xml:space="preserve">20. </w:t>
      </w:r>
      <w:r>
        <w:t xml:space="preserve">Zhang, X.; Gureasko, J.; Shen, K.; Cole, P. A.; Kuriyan, J. An Allosteric Mechanism for Activation of the Kinase Domain of Epidermal Growth Factor Receptor. Cell 2006, 125 (6), 1137-1149. </w:t>
      </w:r>
      <w:r>
        <w:rPr>
          <w:i/>
          <w:color w:val="1565C0"/>
          <w:sz w:val="18"/>
        </w:rPr>
        <w:t>doi:10.1016/j.cell.2006.05.013</w:t>
      </w:r>
    </w:p>
    <w:p>
      <w:pPr>
        <w:spacing w:after="60"/>
        <w:ind w:left="576"/>
      </w:pPr>
      <w:r>
        <w:rPr>
          <w:b/>
        </w:rPr>
        <w:t xml:space="preserve">21. </w:t>
      </w:r>
      <w:r>
        <w:t xml:space="preserve">Naguib, M.; Kurtoglu, M.; Presser, V.; Lu, J.; Niu, J.; Heon, M.; Hultman, L.; Gogotsi, Y.; Barsoum, M. W. Two‐Dimensional Nanocrystals Produced by Exfoliation of Ti 3 AlC 2. Advanced Materials 2011, 23 (37), 4248-4253. </w:t>
      </w:r>
      <w:r>
        <w:rPr>
          <w:i/>
          <w:color w:val="1565C0"/>
          <w:sz w:val="18"/>
        </w:rPr>
        <w:t>doi:10.1002/adma.201102306</w:t>
      </w:r>
    </w:p>
    <w:p>
      <w:pPr>
        <w:spacing w:after="60"/>
        <w:ind w:left="576"/>
      </w:pPr>
      <w:r>
        <w:rPr>
          <w:b/>
        </w:rPr>
        <w:t xml:space="preserve">22. </w:t>
      </w:r>
      <w:r>
        <w:t xml:space="preserve">Naguib, M.; Mochalin, V. N.; Barsoum, M. W.; Gogotsi, Y. 25th Anniversary Article: MXenes: A New Family of Two‐Dimensional Materials. Advanced Materials 2013, 26 (7), 992-1005. </w:t>
      </w:r>
      <w:r>
        <w:rPr>
          <w:i/>
          <w:color w:val="1565C0"/>
          <w:sz w:val="18"/>
        </w:rPr>
        <w:t>doi:10.1002/adma.201304138</w:t>
      </w:r>
    </w:p>
    <w:p>
      <w:pPr>
        <w:spacing w:after="60"/>
        <w:ind w:left="576"/>
      </w:pPr>
      <w:r>
        <w:rPr>
          <w:b/>
        </w:rPr>
        <w:t xml:space="preserve">23. </w:t>
      </w:r>
      <w:r>
        <w:t xml:space="preserve">Anasori, B.; Lukatskaya, M. R.; Gogotsi, Y. 2D metal carbides and nitrides (MXenes) for energy storage. Nature Reviews Materials 2017, 2 (2). </w:t>
      </w:r>
      <w:r>
        <w:rPr>
          <w:i/>
          <w:color w:val="1565C0"/>
          <w:sz w:val="18"/>
        </w:rPr>
        <w:t>doi:10.1038/natrevmats.2016.98</w:t>
      </w:r>
    </w:p>
    <w:p>
      <w:pPr>
        <w:spacing w:after="60"/>
        <w:ind w:left="576"/>
      </w:pPr>
      <w:r>
        <w:rPr>
          <w:b/>
        </w:rPr>
        <w:t xml:space="preserve">24. </w:t>
      </w:r>
      <w:r>
        <w:t xml:space="preserve">Alhabeb, M.; Maleski, K.; Anasori, B.; Lelyukh, P.; Clark, L.; Sin, S.; Gogotsi, Y. Guidelines for Synthesis and Processing of Two-Dimensional Titanium Carbide (Ti 3 C 2 T x MXene). Chemistry of Materials 2017, 29 (18), 7633-7644. </w:t>
      </w:r>
      <w:r>
        <w:rPr>
          <w:i/>
          <w:color w:val="1565C0"/>
          <w:sz w:val="18"/>
        </w:rPr>
        <w:t>doi:10.1021/acs.chemmater.7b02847</w:t>
      </w:r>
    </w:p>
    <w:p>
      <w:pPr>
        <w:spacing w:after="60"/>
        <w:ind w:left="576"/>
      </w:pPr>
      <w:r>
        <w:rPr>
          <w:b/>
        </w:rPr>
        <w:t xml:space="preserve">25. </w:t>
      </w:r>
      <w:r>
        <w:t xml:space="preserve">Liu, Z.; Zhao, M.; Lin, H.; Dai, C.; Ren, C.; Zhang, S.; Peng, W.; Chen, Y. 2D magnetic titanium carbide MXene for cancer theranostics. Journal of Materials Chemistry B 2018, 6 (21), 3541-3548. </w:t>
      </w:r>
      <w:r>
        <w:rPr>
          <w:i/>
          <w:color w:val="1565C0"/>
          <w:sz w:val="18"/>
        </w:rPr>
        <w:t>doi:10.1039/c8tb00754c</w:t>
      </w:r>
    </w:p>
    <w:p>
      <w:pPr>
        <w:spacing w:after="60"/>
        <w:ind w:left="576"/>
      </w:pPr>
      <w:r>
        <w:rPr>
          <w:b/>
        </w:rPr>
        <w:t xml:space="preserve">26. </w:t>
      </w:r>
      <w:r>
        <w:t xml:space="preserve">Bannwarth, C.; Ehlert, S.; Grimme, S. GFN2-xTB─An Accurate and Broadly Parametrized Self-Consistent Tight-Binding Quantum Chemical Method with Multipole Electrostatics and Density-Dependent Dispersion Contributions. Journal of Chemical Theory and Computation 2019, 15 (3), 1652-1671. </w:t>
      </w:r>
      <w:r>
        <w:rPr>
          <w:i/>
          <w:color w:val="1565C0"/>
          <w:sz w:val="18"/>
        </w:rPr>
        <w:t>doi:10.1021/acs.jctc.8b01176</w:t>
      </w:r>
    </w:p>
    <w:p>
      <w:pPr>
        <w:spacing w:after="60"/>
        <w:ind w:left="576"/>
      </w:pPr>
      <w:r>
        <w:rPr>
          <w:b/>
        </w:rPr>
        <w:t xml:space="preserve">27. </w:t>
      </w:r>
      <w:r>
        <w:t xml:space="preserve">Caldeweyher, E.; Ehlert, S.; Hansen, A.; Neugebauer, H.; Spicher, S.; Bannwarth, C.; Grimme, S. A generally applicable atomic-charge dependent London dispersion correction. The Journal of Chemical Physics 2019, 150 (15). </w:t>
      </w:r>
      <w:r>
        <w:rPr>
          <w:i/>
          <w:color w:val="1565C0"/>
          <w:sz w:val="18"/>
        </w:rPr>
        <w:t>doi:10.1063/1.5090222</w:t>
      </w:r>
    </w:p>
    <w:p>
      <w:pPr>
        <w:spacing w:after="60"/>
        <w:ind w:left="576"/>
      </w:pPr>
      <w:r>
        <w:rPr>
          <w:b/>
        </w:rPr>
        <w:t xml:space="preserve">28. </w:t>
      </w:r>
      <w:r>
        <w:t xml:space="preserve">Trott, O.; Olson, A. J. AutoDock Vina: Improving the speed and accuracy of docking with a new scoring function, efficient optimization, and multithreading. Journal of Computational Chemistry 2009, 31 (2), 455-461. </w:t>
      </w:r>
      <w:r>
        <w:rPr>
          <w:i/>
          <w:color w:val="1565C0"/>
          <w:sz w:val="18"/>
        </w:rPr>
        <w:t>doi:10.1002/jcc.21334</w:t>
      </w:r>
    </w:p>
    <w:p>
      <w:pPr>
        <w:spacing w:after="60"/>
        <w:ind w:left="576"/>
      </w:pPr>
      <w:r>
        <w:rPr>
          <w:b/>
        </w:rPr>
        <w:t xml:space="preserve">29. </w:t>
      </w:r>
      <w:r>
        <w:t xml:space="preserve">Eberhardt, J.; Santos-Martins, D.; Tillack, A. F.; Forli, S. AutoDock Vina 1.2.0: New Docking Methods, Expanded Force Field, and Python Bindings. Journal of Chemical Information and Modeling 2021, 61 (8), 3891-3898. </w:t>
      </w:r>
      <w:r>
        <w:rPr>
          <w:i/>
          <w:color w:val="1565C0"/>
          <w:sz w:val="18"/>
        </w:rPr>
        <w:t>doi:10.1021/acs.jcim.1c00203</w:t>
      </w:r>
    </w:p>
    <w:p>
      <w:pPr>
        <w:spacing w:after="60"/>
        <w:ind w:left="576"/>
      </w:pPr>
      <w:r>
        <w:rPr>
          <w:b/>
        </w:rPr>
        <w:t xml:space="preserve">30. </w:t>
      </w:r>
      <w:r>
        <w:t xml:space="preserve">Landrum, G. et al. RDKit: Open-source cheminformatics toolkit, version 2024.03.1. https://www.rdkit.org (accessed 2026). </w:t>
      </w:r>
      <w:r>
        <w:rPr>
          <w:i/>
          <w:color w:val="1565C0"/>
          <w:sz w:val="18"/>
        </w:rPr>
        <w:t>doi:10.5281/zenodo.10848032</w:t>
      </w:r>
    </w:p>
    <w:p>
      <w:pPr>
        <w:spacing w:after="60"/>
        <w:ind w:left="576"/>
      </w:pPr>
      <w:r>
        <w:rPr>
          <w:b/>
        </w:rPr>
        <w:t xml:space="preserve">31. </w:t>
      </w:r>
      <w:r>
        <w:t xml:space="preserve">OECD. Guidance Document on the Validation of (Quantitative) Structure-Activity Relationship [(Q)SAR] Models; OECD Environment Health and Safety Publications, Series on Testing and Assessment No. 69; OECD Publishing: Paris, 2007. </w:t>
      </w:r>
      <w:r>
        <w:rPr>
          <w:i/>
          <w:color w:val="1565C0"/>
          <w:sz w:val="18"/>
        </w:rPr>
        <w:t>doi:10.1787/9789264085442-en</w:t>
      </w:r>
    </w:p>
    <w:p>
      <w:pPr>
        <w:spacing w:after="60"/>
        <w:ind w:left="576"/>
      </w:pPr>
      <w:r>
        <w:rPr>
          <w:b/>
        </w:rPr>
        <w:t xml:space="preserve">32. </w:t>
      </w:r>
      <w:r>
        <w:t xml:space="preserve">Gramatica, P. Principles of QSAR models validation: internal and external. QSAR &amp; Combinatorial Science 2007, 26 (5), 694-701. </w:t>
      </w:r>
      <w:r>
        <w:rPr>
          <w:i/>
          <w:color w:val="1565C0"/>
          <w:sz w:val="18"/>
        </w:rPr>
        <w:t>doi:10.1002/qsar.200610151</w:t>
      </w:r>
    </w:p>
    <w:p>
      <w:pPr>
        <w:spacing w:after="60"/>
        <w:ind w:left="576"/>
      </w:pPr>
      <w:r>
        <w:rPr>
          <w:b/>
        </w:rPr>
        <w:t xml:space="preserve">33. </w:t>
      </w:r>
      <w:r>
        <w:t xml:space="preserve">Tropsha, A. Best Practices for QSAR Model Development, Validation, and Exploitation. Molecular Informatics 2010, 29 (6-7), 476-488. </w:t>
      </w:r>
      <w:r>
        <w:rPr>
          <w:i/>
          <w:color w:val="1565C0"/>
          <w:sz w:val="18"/>
        </w:rPr>
        <w:t>doi:10.1002/minf.201000061</w:t>
      </w:r>
    </w:p>
    <w:p>
      <w:pPr>
        <w:spacing w:after="60"/>
        <w:ind w:left="576"/>
      </w:pPr>
      <w:r>
        <w:rPr>
          <w:b/>
        </w:rPr>
        <w:t xml:space="preserve">34. </w:t>
      </w:r>
      <w:r>
        <w:t xml:space="preserve">Rücker, C.; Rücker, G.; Meringer, M. y-Randomization and Its Variants in QSPR/QSAR. Journal of Chemical Information and Modeling 2007, 47 (6), 2345-2357. </w:t>
      </w:r>
      <w:r>
        <w:rPr>
          <w:i/>
          <w:color w:val="1565C0"/>
          <w:sz w:val="18"/>
        </w:rPr>
        <w:t>doi:10.1021/ci700157b</w:t>
      </w:r>
    </w:p>
    <w:p>
      <w:pPr>
        <w:spacing w:after="60"/>
        <w:ind w:left="576"/>
      </w:pPr>
      <w:r>
        <w:rPr>
          <w:b/>
        </w:rPr>
        <w:t xml:space="preserve">35. </w:t>
      </w:r>
      <w:r>
        <w:t xml:space="preserve">Lundberg, S. M.; Lee, S.-I. A unified approach to interpreting model predictions. In Advances in Neural Information Processing Systems 30; Guyon, I. et al., Eds.; Curran Associates, Inc., 2017; pp 4765–4774. arXiv:1705.07874. </w:t>
      </w:r>
    </w:p>
    <w:p>
      <w:pPr>
        <w:spacing w:after="60"/>
        <w:ind w:left="576"/>
      </w:pPr>
      <w:r>
        <w:rPr>
          <w:b/>
        </w:rPr>
        <w:t xml:space="preserve">36. </w:t>
      </w:r>
      <w:r>
        <w:t xml:space="preserve">Parr, R. G.; Pearson, R. G. Absolute hardness: companion parameter to absolute electronegativity. Journal of the American Chemical Society 1983, 105 (26), 7512-7516. </w:t>
      </w:r>
      <w:r>
        <w:rPr>
          <w:i/>
          <w:color w:val="1565C0"/>
          <w:sz w:val="18"/>
        </w:rPr>
        <w:t>doi:10.1021/ja00364a005</w:t>
      </w:r>
    </w:p>
    <w:p>
      <w:pPr>
        <w:spacing w:after="60"/>
        <w:ind w:left="576"/>
      </w:pPr>
      <w:r>
        <w:rPr>
          <w:b/>
        </w:rPr>
        <w:t xml:space="preserve">37. </w:t>
      </w:r>
      <w:r>
        <w:t xml:space="preserve">Parr, R. G.; Szentpály, L. v.; Liu, S. Electrophilicity Index. Journal of the American Chemical Society 1999, 121 (9), 1922-1924. </w:t>
      </w:r>
      <w:r>
        <w:rPr>
          <w:i/>
          <w:color w:val="1565C0"/>
          <w:sz w:val="18"/>
        </w:rPr>
        <w:t>doi:10.1021/ja983494x</w:t>
      </w:r>
    </w:p>
    <w:p>
      <w:pPr>
        <w:spacing w:after="60"/>
        <w:ind w:left="576"/>
      </w:pPr>
      <w:r>
        <w:rPr>
          <w:b/>
        </w:rPr>
        <w:t xml:space="preserve">38. </w:t>
      </w:r>
      <w:r>
        <w:t xml:space="preserve">Hopkins, A. L.; Groom, C. R.; Alex, A. Ligand efficiency: a useful metric for lead selection. Drug Discovery Today 2004, 9 (10), 430-431. </w:t>
      </w:r>
      <w:r>
        <w:rPr>
          <w:i/>
          <w:color w:val="1565C0"/>
          <w:sz w:val="18"/>
        </w:rPr>
        <w:t>doi:10.1016/s1359-6446(04)03069-7</w:t>
      </w:r>
    </w:p>
    <w:p>
      <w:pPr>
        <w:spacing w:after="60"/>
        <w:ind w:left="576"/>
      </w:pPr>
      <w:r>
        <w:rPr>
          <w:b/>
        </w:rPr>
        <w:t xml:space="preserve">39. </w:t>
      </w:r>
      <w:r>
        <w:t xml:space="preserve">Kramer, C.; Gedeck, P. Leave-many-out cross-validation and the applicability domain of QSAR models. J. Chem. Inf. Model. 2012, 52 (3), 697–707. </w:t>
      </w:r>
      <w:r>
        <w:rPr>
          <w:i/>
          <w:color w:val="1565C0"/>
          <w:sz w:val="18"/>
        </w:rPr>
        <w:t>doi:10.1021/ci9003105</w:t>
      </w:r>
    </w:p>
    <w:p>
      <w:pPr>
        <w:spacing w:after="60"/>
        <w:ind w:left="576"/>
      </w:pPr>
      <w:r>
        <w:rPr>
          <w:b/>
        </w:rPr>
        <w:t xml:space="preserve">40. </w:t>
      </w:r>
      <w:r>
        <w:t xml:space="preserve">Cherkasov, A.; Muratov, E. N.; Fourches, D.; Varnek, A.; Baskin, I. I.; Cronin, M.; Dearden, J.; Gramatica, P.; Martin, Y. C.; Todeschini, R.; et al. QSAR Modeling: Where Have You Been? Where Are You Going To?. Journal of Medicinal Chemistry 2014, 57 (12), 4977-5010. </w:t>
      </w:r>
      <w:r>
        <w:rPr>
          <w:i/>
          <w:color w:val="1565C0"/>
          <w:sz w:val="18"/>
        </w:rPr>
        <w:t>doi:10.1021/jm4004285</w:t>
      </w:r>
    </w:p>
    <w:p>
      <w:pPr>
        <w:spacing w:after="60"/>
        <w:ind w:left="576"/>
      </w:pPr>
      <w:r>
        <w:rPr>
          <w:b/>
        </w:rPr>
        <w:t xml:space="preserve">41. </w:t>
      </w:r>
      <w:r>
        <w:t xml:space="preserve">Veber, D. F.; Johnson, S. R.; Cheng, H. Y.; Smith, B. R.; Ward, K. W.; Kopple, K. D. Molecular Properties That Influence the Oral Bioavailability of Drug Candidates. Journal of Medicinal Chemistry 2002, 45 (12), 2615-2623. </w:t>
      </w:r>
      <w:r>
        <w:rPr>
          <w:i/>
          <w:color w:val="1565C0"/>
          <w:sz w:val="18"/>
        </w:rPr>
        <w:t>doi:10.1021/jm020017n</w:t>
      </w:r>
    </w:p>
    <w:p>
      <w:pPr>
        <w:spacing w:after="60"/>
        <w:ind w:left="576"/>
      </w:pPr>
      <w:r>
        <w:rPr>
          <w:b/>
        </w:rPr>
        <w:t xml:space="preserve">42. </w:t>
      </w:r>
      <w:r>
        <w:t xml:space="preserve">Lipinski, C. A.; Lombardo, F.; Dominy, B. W.; Feeney, P. J. Experimental and computational approaches to estimate solubility and permeability in drug discovery and development settings 1PII of original article: S0169-409X(96)00423-1. The article was originally published in Advanced Drug Delivery Reviews 23 (1997) 3–25. 1. Advanced Drug Delivery Reviews 2001, 46 (1-3), 3-26. </w:t>
      </w:r>
      <w:r>
        <w:rPr>
          <w:i/>
          <w:color w:val="1565C0"/>
          <w:sz w:val="18"/>
        </w:rPr>
        <w:t>doi:10.1016/s0169-409x(00)00129-0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