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t>Andrés Monreal Hernández</w:t>
      </w:r>
    </w:p>
    <w:p>
      <w:pPr>
        <w:spacing w:after="0"/>
        <w:jc w:val="left"/>
      </w:pPr>
      <w:r>
        <w:rPr/>
        <w:t>Universidad Estatal de Sonora, Ley Federal del Trabajo S/N, Col. Apolo, 83100 Hermosillo, Sonora, Mexico</w:t>
      </w:r>
    </w:p>
    <w:p>
      <w:pPr>
        <w:spacing w:after="0"/>
        <w:jc w:val="left"/>
      </w:pPr>
      <w:r>
        <w:rPr/>
        <w:t>andres.monreal@ues.mx</w:t>
      </w:r>
    </w:p>
    <w:p>
      <w:pPr>
        <w:spacing w:after="0"/>
        <w:jc w:val="left"/>
      </w:pPr>
    </w:p>
    <w:p>
      <w:pPr>
        <w:spacing w:after="0"/>
        <w:jc w:val="left"/>
      </w:pPr>
      <w:r>
        <w:rPr/>
        <w:t>29 September 2026</w:t>
      </w:r>
    </w:p>
    <w:p>
      <w:pPr>
        <w:spacing w:after="0"/>
        <w:jc w:val="left"/>
      </w:pPr>
    </w:p>
    <w:p>
      <w:pPr>
        <w:spacing w:after="0"/>
        <w:jc w:val="left"/>
      </w:pPr>
      <w:r>
        <w:rPr/>
        <w:t>The Editor-in-Chief</w:t>
      </w:r>
    </w:p>
    <w:p>
      <w:pPr>
        <w:spacing w:after="0"/>
        <w:jc w:val="left"/>
      </w:pPr>
      <w:r>
        <w:rPr/>
        <w:t>Journal of Molecular Modeling</w:t>
      </w:r>
    </w:p>
    <w:p>
      <w:pPr>
        <w:spacing w:after="0"/>
        <w:jc w:val="left"/>
      </w:pPr>
    </w:p>
    <w:p>
      <w:pPr>
        <w:jc w:val="left"/>
      </w:pPr>
      <w:r>
        <w:rPr/>
        <w:t>Dear Editor,</w:t>
      </w:r>
    </w:p>
    <w:p>
      <w:pPr>
        <w:jc w:val="both"/>
      </w:pPr>
      <w:r>
        <w:rPr/>
        <w:t>I submit the manuscript "Glioblastoma drugs and a Ti</w:t>
      </w:r>
      <w:r>
        <w:rPr>
          <w:vertAlign w:val="subscript"/>
        </w:rPr>
        <w:t>3</w:t>
      </w:r>
      <w:r>
        <w:rPr/>
        <w:t>C</w:t>
      </w:r>
      <w:r>
        <w:rPr>
          <w:vertAlign w:val="subscript"/>
        </w:rPr>
        <w:t>2</w:t>
      </w:r>
      <w:r>
        <w:rPr/>
        <w:t>O</w:t>
      </w:r>
      <w:r>
        <w:rPr>
          <w:vertAlign w:val="subscript"/>
        </w:rPr>
        <w:t>2</w:t>
      </w:r>
      <w:r>
        <w:rPr/>
        <w:t xml:space="preserve"> MXene carrier: docking controls, tight-binding tests and periodic DFT adsorption" for consideration as an Original Paper in the Journal of Molecular Modeling.</w:t>
      </w:r>
    </w:p>
    <w:p>
      <w:pPr>
        <w:jc w:val="both"/>
      </w:pPr>
      <w:r>
        <w:rPr/>
        <w:t>The study examines 33 glioblastoma drugs against the erlotinib site of EGFR and against an O-terminated Ti</w:t>
      </w:r>
      <w:r>
        <w:rPr>
          <w:vertAlign w:val="subscript"/>
        </w:rPr>
        <w:t>3</w:t>
      </w:r>
      <w:r>
        <w:rPr/>
        <w:t>C</w:t>
      </w:r>
      <w:r>
        <w:rPr>
          <w:vertAlign w:val="subscript"/>
        </w:rPr>
        <w:t>2</w:t>
      </w:r>
      <w:r>
        <w:rPr/>
        <w:t>O</w:t>
      </w:r>
      <w:r>
        <w:rPr>
          <w:vertAlign w:val="subscript"/>
        </w:rPr>
        <w:t>2</w:t>
      </w:r>
      <w:r>
        <w:rPr/>
        <w:t xml:space="preserve"> MXene proposed as a carrier. Two results concern methods that are widely used in screens of this kind. First, every docking mode of two redocking controls was compared with the crystal pose: the crystal-like erlotinib pose is found (≤ 1.44 Å) but is not ranked first (5.9 and 7.6 Å), so the docking scores are reported as exploratory. Second, the GFN2-xTB and GFN1-xTB tight-binding methods fail for this metallic carrier: GFN2-xTB places the lattice minimum at 2.70 Å instead of about 3.03 Å (PBE-D3), GFN1-xTB has no minimum, and only 1 of 18 attempts on neutral finite flakes converged. Adsorption was therefore computed with periodic density functional theory (PBE-D3). [DFT RESULT SENTENCE ADDED AUTOMATICALLY WHEN THE CAMPAIGN IS COMPLETE.] A descriptor model of the docking score, validated by nested cross-validation and Y-scrambling, is weak (</w:t>
      </w:r>
      <w:r>
        <w:rPr>
          <w:i/>
        </w:rPr>
        <w:t>Q</w:t>
      </w:r>
      <w:r>
        <w:rPr>
          <w:vertAlign w:val="superscript"/>
        </w:rPr>
        <w:t>2</w:t>
      </w:r>
      <w:r>
        <w:rPr>
          <w:vertAlign w:val="subscript"/>
        </w:rPr>
        <w:t>CV</w:t>
      </w:r>
      <w:r>
        <w:rPr/>
        <w:t xml:space="preserve"> = 0.17) and mainly reflects molecular size, and it is reported as such.</w:t>
      </w:r>
    </w:p>
    <w:p>
      <w:pPr>
        <w:jc w:val="both"/>
      </w:pPr>
      <w:r>
        <w:rPr/>
        <w:t>Related work. Supporting files of an earlier version of this study were deposited on Zenodo (https://doi.org/10.5281/zenodo.22700227); that version was superseded when the study was rebuilt from its raw inputs, and the results reported here replace it. A methods paper by the author, submitted to the Journal of Computational Biophysics and Chemistry, uses this study as one of four case studies of errors found and corrected during such rebuilds, and cites some of its summary numbers; the study, including its docking and DFT adsorption results, is reported in full only in this manuscript.</w:t>
      </w:r>
    </w:p>
    <w:p>
      <w:pPr>
        <w:jc w:val="both"/>
      </w:pPr>
      <w:r>
        <w:rPr/>
        <w:t>All structures, docking poses, Quantum ESPRESSO inputs and outputs and the complete pipeline that regenerates every number and figure are openly available. The manuscript has not been published and is not under consideration elsewhere. The author declares no competing interests.</w:t>
      </w:r>
    </w:p>
    <w:p>
      <w:pPr>
        <w:spacing w:after="0"/>
        <w:jc w:val="left"/>
      </w:pPr>
      <w:r>
        <w:rPr/>
        <w:t>Sincerely,</w:t>
      </w:r>
    </w:p>
    <w:p>
      <w:pPr>
        <w:jc w:val="left"/>
      </w:pPr>
      <w:r>
        <w:rPr/>
        <w:t>Andrés Monreal Hernández (ORCID 0009-0009-1207-8597)</w:t>
      </w:r>
    </w:p>
    <w:sectPr w:rsidR="00FC693F" w:rsidRPr="0006063C" w:rsidSect="00034616">
      <w:footerReference w:type="default" r:id="rId9"/>
      <w:pgSz w:w="11906" w:h="16838"/>
      <w:pgMar w:top="1417" w:right="1417" w:bottom="1417" w:left="1417" w:header="720" w:footer="720" w:gutter="0"/>
      <w:cols w:space="720"/>
      <w:docGrid w:linePitch="360"/>
      <w:lnNumType w:countBy="1" w:restart="continuous" w:distance="2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