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shows the real GFN2-xTB optimised geometries of the pristine B36N36 nanocage and of two representative drug-nanocage complexes. Panel (a) is the optimised carrier. Panels (b) and (c) are the relaxed Olaparib + B36N36 and Talazoparib + B36N36 complexes; the corresponding single-point interaction energies are -0.38 and -1.53 kcal/mol (Table 1), consistent with weak, dispersion-dominated physisorption. A carboxylated B36N36-COOH conjugate is discussed only as future work, since no real structural or quantum data exists for the carboxylated cage.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complex (single-point ΔE_int,SP = -0.38 kcal/mol); (c) the relaxed Talazoparib + B36N36 complex (single-point ΔE_int,SP = -1.53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51887"/>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51887"/>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Accumulation (yellow) and depletion (blue) lobes are confined to the drug carbonyl / amide region facing the cage, with the remainder of the drug and the B36N36 framework essentially unperturbed - the localised signature of a weak, dispersion-dominated physisorptive contact.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890356"/>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890356"/>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complex. Isovalue +/-0.0008 e bohr^-3; yellow = electron accumulation, blue = electron depletion.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