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b/>
          <w:sz w:val="30"/>
        </w:rPr>
        <w:t>Physisorption and dative-bond chemisorption of anti-TNBC drugs on a B</w:t>
      </w:r>
      <w:r>
        <w:rPr>
          <w:b/>
          <w:sz w:val="30"/>
          <w:vertAlign w:val="subscript"/>
        </w:rPr>
        <w:t>36</w:t>
      </w:r>
      <w:r>
        <w:rPr>
          <w:b/>
          <w:sz w:val="30"/>
        </w:rPr>
        <w:t>N</w:t>
      </w:r>
      <w:r>
        <w:rPr>
          <w:b/>
          <w:sz w:val="30"/>
          <w:vertAlign w:val="subscript"/>
        </w:rPr>
        <w:t>36</w:t>
      </w:r>
      <w:r>
        <w:rPr>
          <w:b/>
          <w:sz w:val="30"/>
        </w:rPr>
        <w:t xml:space="preserve"> fullerene-like cage: validated PARP1 docking, GFN2-xTB adsorption and QSPR analysis</w:t>
      </w:r>
    </w:p>
    <w:p>
      <w:pPr>
        <w:spacing w:after="40"/>
        <w:jc w:val="left"/>
      </w:pPr>
      <w:r>
        <w:rPr/>
        <w:t>Andrés Monreal Hernández</w:t>
      </w:r>
      <w:r>
        <w:rPr>
          <w:vertAlign w:val="superscript"/>
        </w:rPr>
        <w:t>*</w:t>
      </w:r>
    </w:p>
    <w:p>
      <w:pPr>
        <w:spacing w:after="40"/>
        <w:jc w:val="left"/>
      </w:pPr>
      <w:r>
        <w:rPr>
          <w:sz w:val="20"/>
        </w:rPr>
        <w:t>Universidad Estatal de Sonora, Ley Federal del Trabajo S/N, Col. Apolo, 83100 Hermosillo, Sonora, Mexico</w:t>
      </w:r>
    </w:p>
    <w:p>
      <w:pPr>
        <w:spacing w:after="280"/>
        <w:jc w:val="left"/>
      </w:pPr>
      <w:r>
        <w:rPr>
          <w:sz w:val="20"/>
          <w:vertAlign w:val="superscript"/>
        </w:rPr>
        <w:t>*</w:t>
      </w:r>
      <w:r>
        <w:rPr>
          <w:sz w:val="20"/>
        </w:rPr>
        <w:t>Corresponding author: andres.monreal@ues.mx; ORCID 0009-0009-1207-8597</w:t>
      </w:r>
    </w:p>
    <w:p>
      <w:pPr>
        <w:pStyle w:val="Heading1"/>
      </w:pPr>
      <w:r>
        <w:rPr/>
        <w:t>Abstract</w:t>
      </w:r>
    </w:p>
    <w:p>
      <w:pPr>
        <w:jc w:val="both"/>
      </w:pPr>
      <w:r>
        <w:rPr/>
        <w:t>Triple-negative breast cancer (TNBC) lacks the receptors that guide targeted therapy, and carrier-based delivery is one route to improve the drugs used against it. Boron nitride cages are chemically robust candidate carriers whose Lewis-acidic boron sites can bind drugs either by dispersion or by dative bonds. A valid B</w:t>
      </w:r>
      <w:r>
        <w:rPr>
          <w:vertAlign w:val="subscript"/>
        </w:rPr>
        <w:t>36</w:t>
      </w:r>
      <w:r>
        <w:rPr/>
        <w:t>N</w:t>
      </w:r>
      <w:r>
        <w:rPr>
          <w:vertAlign w:val="subscript"/>
        </w:rPr>
        <w:t>36</w:t>
      </w:r>
      <w:r>
        <w:rPr/>
        <w:t xml:space="preserve"> cage (octahedral, 108 B–N bonds) was relaxed with GFN2-xTB, each drug was adsorbed from four relaxed orientations, and the regime was assigned from drug–cage bond formation. For 30 anti-TNBC drugs, 18 physisorb (Δ</w:t>
      </w:r>
      <w:r>
        <w:rPr>
          <w:i/>
        </w:rPr>
        <w:t>E</w:t>
      </w:r>
      <w:r>
        <w:rPr>
          <w:vertAlign w:val="subscript"/>
        </w:rPr>
        <w:t>int</w:t>
      </w:r>
      <w:r>
        <w:rPr/>
        <w:t xml:space="preserve"> −6.0 to −41.3 kcal mol</w:t>
      </w:r>
      <w:r>
        <w:rPr>
          <w:vertAlign w:val="superscript"/>
        </w:rPr>
        <w:t>−1</w:t>
      </w:r>
      <w:r>
        <w:rPr/>
        <w:t>) and 12 chemisorb through B–O or B–N dative bonds (−26.2 to −62.6 kcal mol</w:t>
      </w:r>
      <w:r>
        <w:rPr>
          <w:vertAlign w:val="superscript"/>
        </w:rPr>
        <w:t>−1</w:t>
      </w:r>
      <w:r>
        <w:rPr/>
        <w:t>, doxorubicin excluded), and doxorubicin reacts with the cage. Docking into PARP1 (PDB 4UND) with AutoDock Vina 1.2.7, validated by two redocking controls that reproduce the crystallographic talazoparib pose (root-mean-square deviation 0.51 and 1.27 Å), ranks olaparib and talazoparib first. Neither the docking score nor the cage interaction energy can be predicted from four pre-selected descriptors by ridge quantitative structure–property relationship (QSPR) models under nested cross-validation and Y-scrambling (</w:t>
      </w:r>
      <w:r>
        <w:rPr>
          <w:i/>
        </w:rPr>
        <w:t>Q</w:t>
      </w:r>
      <w:r>
        <w:rPr>
          <w:vertAlign w:val="superscript"/>
        </w:rPr>
        <w:t>2</w:t>
      </w:r>
      <w:r>
        <w:rPr>
          <w:vertAlign w:val="subscript"/>
        </w:rPr>
        <w:t>CV</w:t>
      </w:r>
      <w:r>
        <w:rPr/>
        <w:t xml:space="preserve"> = −0.08 and −0.08), and the two endpoints are uncorrelated (Spearman ρ = 0.05).</w:t>
      </w:r>
    </w:p>
    <w:p>
      <w:pPr>
        <w:jc w:val="left"/>
      </w:pPr>
      <w:r>
        <w:rPr>
          <w:b/>
        </w:rPr>
        <w:t>Keywords</w:t>
      </w:r>
      <w:r>
        <w:rPr/>
        <w:t xml:space="preserve"> Boron nitride nanocage · B</w:t>
      </w:r>
      <w:r>
        <w:rPr>
          <w:vertAlign w:val="subscript"/>
        </w:rPr>
        <w:t>36</w:t>
      </w:r>
      <w:r>
        <w:rPr/>
        <w:t>N</w:t>
      </w:r>
      <w:r>
        <w:rPr>
          <w:vertAlign w:val="subscript"/>
        </w:rPr>
        <w:t>36</w:t>
      </w:r>
      <w:r>
        <w:rPr/>
        <w:t xml:space="preserve"> · PARP1 · Triple-negative breast cancer · GFN2-xTB · Molecular docking</w:t>
      </w:r>
    </w:p>
    <w:p>
      <w:pPr>
        <w:pStyle w:val="Heading1"/>
      </w:pPr>
      <w:r>
        <w:rPr/>
        <w:t>Introduction</w:t>
      </w:r>
    </w:p>
    <w:p>
      <w:pPr>
        <w:ind w:firstLine="340"/>
        <w:jc w:val="both"/>
      </w:pPr>
      <w:r>
        <w:rPr/>
        <w:t xml:space="preserve">Triple-negative breast cancer (TNBC) lacks the oestrogen, progesterone and HER2 receptors that guide targeted therapy in other breast-cancer subtypes, and it is associated with early relapse and poor prognosis [1–3]. It is also molecularly heterogeneous [4, 5]. In the subset carrying germline </w:t>
      </w:r>
      <w:r>
        <w:rPr>
          <w:i/>
        </w:rPr>
        <w:t>BRCA1/2</w:t>
      </w:r>
      <w:r>
        <w:rPr/>
        <w:t xml:space="preserve"> mutations, poly(ADP-ribose) polymerase (PARP) inhibitors exploit synthetic lethality and trap PARP1 on DNA [6–8]; olaparib and talazoparib are approved for this indication [9, 10]. Most patients, however, still depend on cytotoxic chemotherapy and on kinase or pathway inhibitors under investigation.</w:t>
      </w:r>
    </w:p>
    <w:p>
      <w:pPr>
        <w:ind w:firstLine="340"/>
        <w:jc w:val="both"/>
      </w:pPr>
      <w:r>
        <w:rPr/>
        <w:t>Boron nitride nanomaterials are chemically inert, electrically insulating and generally well tolerated by cells [11–14], and their surface chemistry can be functionalised for biomedical use [15]. Among the fullerene-like (BN)</w:t>
      </w:r>
      <w:r>
        <w:rPr>
          <w:vertAlign w:val="subscript"/>
        </w:rPr>
        <w:t>n</w:t>
      </w:r>
      <w:r>
        <w:rPr/>
        <w:t xml:space="preserve"> cages, stable isomers contain only four- and six-membered rings, which allows strict B–N alternation [16, 17]; B</w:t>
      </w:r>
      <w:r>
        <w:rPr>
          <w:vertAlign w:val="subscript"/>
        </w:rPr>
        <w:t>36</w:t>
      </w:r>
      <w:r>
        <w:rPr/>
        <w:t>N</w:t>
      </w:r>
      <w:r>
        <w:rPr>
          <w:vertAlign w:val="subscript"/>
        </w:rPr>
        <w:t>36</w:t>
      </w:r>
      <w:r>
        <w:rPr/>
        <w:t xml:space="preserve"> has been studied as a drug carrier at the DFT level [18]. Boron sites of BN cages are Lewis acidic, so drugs with lone-pair donors may bind either by dispersion (physisorption) or by dative B–O/B–N bonds (chemisorption).</w:t>
      </w:r>
    </w:p>
    <w:p>
      <w:pPr>
        <w:ind w:firstLine="340"/>
        <w:jc w:val="both"/>
      </w:pPr>
      <w:r>
        <w:rPr/>
        <w:t>This study characterises a cohort of anti-TNBC drugs on two fronts. First, it docks them into the nicotinamide pocket of PARP1 with a protocol that is shown beforehand to reproduce the crystallographic talazoparib pose. Second, it computes their GFN2-xTB adsorption on a chemically valid B</w:t>
      </w:r>
      <w:r>
        <w:rPr>
          <w:vertAlign w:val="subscript"/>
        </w:rPr>
        <w:t>36</w:t>
      </w:r>
      <w:r>
        <w:rPr/>
        <w:t>N</w:t>
      </w:r>
      <w:r>
        <w:rPr>
          <w:vertAlign w:val="subscript"/>
        </w:rPr>
        <w:t>36</w:t>
      </w:r>
      <w:r>
        <w:rPr/>
        <w:t xml:space="preserve"> cage, classifies each complex as physisorbed or chemisorbed from its bonding, and asks whether either endpoint can be anticipated from four pre-selected molecular descriptors under leak-free validation.</w:t>
      </w:r>
    </w:p>
    <w:p>
      <w:pPr>
        <w:keepNext/>
        <w:jc w:val="center"/>
      </w:pPr>
      <w:r>
        <w:drawing>
          <wp:inline xmlns:a="http://schemas.openxmlformats.org/drawingml/2006/main" xmlns:pic="http://schemas.openxmlformats.org/drawingml/2006/picture">
            <wp:extent cx="6264000" cy="2124578"/>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6264000" cy="2124578"/>
                    </a:xfrm>
                    <a:prstGeom prst="rect"/>
                  </pic:spPr>
                </pic:pic>
              </a:graphicData>
            </a:graphic>
          </wp:inline>
        </w:drawing>
      </w:r>
    </w:p>
    <w:p>
      <w:pPr>
        <w:spacing w:after="240" w:line="276" w:lineRule="auto"/>
        <w:jc w:val="both"/>
      </w:pPr>
      <w:r>
        <w:rPr>
          <w:b/>
          <w:sz w:val="20"/>
        </w:rPr>
        <w:t>Fig. 1</w:t>
      </w:r>
      <w:r>
        <w:rPr>
          <w:sz w:val="20"/>
        </w:rPr>
        <w:t xml:space="preserve"> </w:t>
      </w:r>
      <w:r>
        <w:rPr>
          <w:sz w:val="20"/>
        </w:rPr>
        <w:t>Workflow of the study: PubChem structures; PARP1 docking validated by redocking; construction and validation of the B</w:t>
      </w:r>
      <w:r>
        <w:rPr>
          <w:sz w:val="20"/>
          <w:vertAlign w:val="subscript"/>
        </w:rPr>
        <w:t>36</w:t>
      </w:r>
      <w:r>
        <w:rPr>
          <w:sz w:val="20"/>
        </w:rPr>
        <w:t>N</w:t>
      </w:r>
      <w:r>
        <w:rPr>
          <w:sz w:val="20"/>
          <w:vertAlign w:val="subscript"/>
        </w:rPr>
        <w:t>36</w:t>
      </w:r>
      <w:r>
        <w:rPr>
          <w:sz w:val="20"/>
        </w:rPr>
        <w:t xml:space="preserve"> cage; GFN2-xTB adsorption from four orientations with bond-integrity check; QSPR models under nested cross-validation</w:t>
      </w:r>
    </w:p>
    <w:p>
      <w:pPr>
        <w:pStyle w:val="Heading1"/>
      </w:pPr>
      <w:r>
        <w:rPr/>
        <w:t>Methods</w:t>
      </w:r>
    </w:p>
    <w:p>
      <w:pPr>
        <w:pStyle w:val="Heading2"/>
      </w:pPr>
      <w:r>
        <w:rPr/>
        <w:t>Compound set</w:t>
      </w:r>
    </w:p>
    <w:p>
      <w:pPr>
        <w:ind w:firstLine="340"/>
        <w:jc w:val="both"/>
      </w:pPr>
      <w:r>
        <w:rPr/>
        <w:t>The cohort comprises 33 drugs used or investigated in TNBC. Every structure was retrieved from PubChem by name [19] and its identity verified by InChIKey (Online Resource 1, Table S1). The three platinum(II) agents were not modelled, because RDKit/MMFF cannot build square-planar Pt(II) complexes reliably and GFN2-xTB is not validated for them, leaving 30 organic drugs: 6 PARP inhibitors, 10 cytotoxic agents and 14 kinase or pathway inhibitors.</w:t>
      </w:r>
    </w:p>
    <w:p>
      <w:pPr>
        <w:pStyle w:val="Heading2"/>
      </w:pPr>
      <w:r>
        <w:rPr/>
        <w:t>Molecular docking</w:t>
      </w:r>
    </w:p>
    <w:p>
      <w:pPr>
        <w:ind w:firstLine="340"/>
        <w:jc w:val="both"/>
      </w:pPr>
      <w:r>
        <w:rPr/>
        <w:t>The structure of the human PARP1 catalytic domain bound to talazoparib (PDB 4UND) [20] was prepared with PDBFixer [21]: chain A was kept, waters, ions and the inhibitor were removed, missing atoms were added and the protein was protonated at pH 7.4; AutoDock atom types were assigned with Meeko. Ligands were built from their SMILES with RDKit [22] (ETKDGv3 [23], MMFF94 [24]). Because AutoDock Vina keeps rings rigid, up to five distinct ring conformers per drug were docked and the best score was kept. Docking used AutoDock Vina 1.2.7 [25, 26] in a 22 Å cubic box centred on the talazoparib of chain A (exhaustiveness 16, nine modes, fixed seed). The protocol was validated by self-redocking talazoparib from its crystal conformation and by docking it rebuilt from SMILES through the production protocol; the heavy-atom RMSD to the crystal pose was computed with symmetry correction and without re-alignment. Residues within 4.0 Å of the top pose were counted as contacts and N/O pairs within 3.5 Å as polar contacts.</w:t>
      </w:r>
    </w:p>
    <w:p>
      <w:pPr>
        <w:pStyle w:val="Heading2"/>
      </w:pPr>
      <w:r>
        <w:rPr/>
        <w:t>B</w:t>
      </w:r>
      <w:r>
        <w:rPr>
          <w:vertAlign w:val="subscript"/>
        </w:rPr>
        <w:t>36</w:t>
      </w:r>
      <w:r>
        <w:rPr/>
        <w:t>N</w:t>
      </w:r>
      <w:r>
        <w:rPr>
          <w:vertAlign w:val="subscript"/>
        </w:rPr>
        <w:t>36</w:t>
      </w:r>
      <w:r>
        <w:rPr/>
        <w:t xml:space="preserve"> cage</w:t>
      </w:r>
    </w:p>
    <w:p>
      <w:pPr>
        <w:ind w:firstLine="340"/>
        <w:jc w:val="both"/>
      </w:pPr>
      <w:r>
        <w:rPr/>
        <w:t>The cage was built as the octahedral Goldberg-type (1,1) polyhedron, obtained as the leapfrog of the truncated octahedron: 72 vertices, six four-membered and 32 six-membered rings. All rings are even, so boron and nitrogen alternate strictly and the cage contains 108 B–N bonds and no B–B or N–N bonds. It was relaxed with GFN2-xTB (tight thresholds) and confirmed as a minimum by the absence of imaginary frequencies (HOMO–LUMO gap 4.30 eV).</w:t>
      </w:r>
    </w:p>
    <w:p>
      <w:pPr>
        <w:pStyle w:val="Heading2"/>
      </w:pPr>
      <w:r>
        <w:rPr/>
        <w:t>Adsorption calculations</w:t>
      </w:r>
    </w:p>
    <w:p>
      <w:pPr>
        <w:ind w:firstLine="340"/>
        <w:jc w:val="both"/>
      </w:pPr>
      <w:r>
        <w:rPr/>
        <w:t>All quantum-chemical calculations used GFN2-xTB [27, 28] (xtb 6.7.1, D4 dispersion [29]) in the gas phase. Each drug was relaxed in isolation from its lowest MMFF94 conformer. The drug was then placed 3.2 Å above the cage and four rotations about the approach axis (0, 90, 180 and 270°) were fully relaxed; the lowest-energy converged pose with a closest drug–cage heavy-atom contact of 1.25–4.0 Å was kept. On that geometry the interaction energy Δ</w:t>
      </w:r>
      <w:r>
        <w:rPr>
          <w:i/>
        </w:rPr>
        <w:t>E</w:t>
      </w:r>
      <w:r>
        <w:rPr>
          <w:vertAlign w:val="subscript"/>
        </w:rPr>
        <w:t>int</w:t>
      </w:r>
      <w:r>
        <w:rPr/>
        <w:t xml:space="preserve"> = </w:t>
      </w:r>
      <w:r>
        <w:rPr>
          <w:i/>
        </w:rPr>
        <w:t>E</w:t>
      </w:r>
      <w:r>
        <w:rPr>
          <w:vertAlign w:val="subscript"/>
        </w:rPr>
        <w:t>complex</w:t>
      </w:r>
      <w:r>
        <w:rPr/>
        <w:t xml:space="preserve"> − </w:t>
      </w:r>
      <w:r>
        <w:rPr>
          <w:i/>
        </w:rPr>
        <w:t>E</w:t>
      </w:r>
      <w:r>
        <w:rPr>
          <w:vertAlign w:val="subscript"/>
        </w:rPr>
        <w:t>cage</w:t>
      </w:r>
      <w:r>
        <w:rPr/>
        <w:t xml:space="preserve"> − </w:t>
      </w:r>
      <w:r>
        <w:rPr>
          <w:i/>
        </w:rPr>
        <w:t>E</w:t>
      </w:r>
      <w:r>
        <w:rPr>
          <w:vertAlign w:val="subscript"/>
        </w:rPr>
        <w:t>drug</w:t>
      </w:r>
      <w:r>
        <w:rPr/>
        <w:t>, with both fragments frozen at the complex geometry, and the adsorption energy Δ</w:t>
      </w:r>
      <w:r>
        <w:rPr>
          <w:i/>
        </w:rPr>
        <w:t>E</w:t>
      </w:r>
      <w:r>
        <w:rPr>
          <w:vertAlign w:val="subscript"/>
        </w:rPr>
        <w:t>ads</w:t>
      </w:r>
      <w:r>
        <w:rPr/>
        <w:t>, referenced to the separately relaxed fragments, were computed. A complex was classed as chemisorbed when at least one drug–cage distance was shorter than 1.15 times the sum of the covalent radii, and physisorbed otherwise. The bonding of each drug was also compared before and after adsorption to detect proton transfer or bond breaking within the drug.</w:t>
      </w:r>
    </w:p>
    <w:p>
      <w:pPr>
        <w:pStyle w:val="Heading2"/>
      </w:pPr>
      <w:r>
        <w:rPr/>
        <w:t>Descriptors and QSPR models</w:t>
      </w:r>
    </w:p>
    <w:p>
      <w:pPr>
        <w:ind w:firstLine="340"/>
        <w:jc w:val="both"/>
      </w:pPr>
      <w:r>
        <w:rPr/>
        <w:t>Four descriptors were fixed before any model was fitted: molecular weight and molar refractivity (RDKit), and the HOMO energy and global electrophilicity ω = μ</w:t>
      </w:r>
      <w:r>
        <w:rPr>
          <w:vertAlign w:val="superscript"/>
        </w:rPr>
        <w:t>2</w:t>
      </w:r>
      <w:r>
        <w:rPr/>
        <w:t>/2η from GFN2-xTB on the relaxed isolated drug [30–32]. Two endpoints were modelled: the Vina score on PARP1 and Δ</w:t>
      </w:r>
      <w:r>
        <w:rPr>
          <w:i/>
        </w:rPr>
        <w:t>E</w:t>
      </w:r>
      <w:r>
        <w:rPr>
          <w:vertAlign w:val="subscript"/>
        </w:rPr>
        <w:t>int</w:t>
      </w:r>
      <w:r>
        <w:rPr/>
        <w:t xml:space="preserve"> on B</w:t>
      </w:r>
      <w:r>
        <w:rPr>
          <w:vertAlign w:val="subscript"/>
        </w:rPr>
        <w:t>36</w:t>
      </w:r>
      <w:r>
        <w:rPr/>
        <w:t>N</w:t>
      </w:r>
      <w:r>
        <w:rPr>
          <w:vertAlign w:val="subscript"/>
        </w:rPr>
        <w:t>36</w:t>
      </w:r>
      <w:r>
        <w:rPr/>
        <w:t xml:space="preserve"> (drugs whose own bonding was unchanged on adsorption). Each model is a ridge regression (scikit-learn [33], standardisation and penalty inside one pipeline) evaluated by nested cross-validation: five outer folds for performance and a five-fold inner loop for the penalty [34]. Out-of-fold predictions give </w:t>
      </w:r>
      <w:r>
        <w:rPr>
          <w:i/>
        </w:rPr>
        <w:t>Q</w:t>
      </w:r>
      <w:r>
        <w:rPr>
          <w:vertAlign w:val="superscript"/>
        </w:rPr>
        <w:t>2</w:t>
      </w:r>
      <w:r>
        <w:rPr>
          <w:vertAlign w:val="subscript"/>
        </w:rPr>
        <w:t>CV</w:t>
      </w:r>
      <w:r>
        <w:rPr/>
        <w:t xml:space="preserve">, RMSE and MAE. Chance correlation was tested by repeating the whole nested procedure on 1,000 permutations of the target [35]. The applicability domain follows OECD principle 3 [36–38]: leverages from the standardised descriptors with intercept, warning leverage </w:t>
      </w:r>
      <w:r>
        <w:rPr>
          <w:i/>
        </w:rPr>
        <w:t>h</w:t>
      </w:r>
      <w:r>
        <w:rPr>
          <w:vertAlign w:val="superscript"/>
        </w:rPr>
        <w:t>*</w:t>
      </w:r>
      <w:r>
        <w:rPr/>
        <w:t xml:space="preserve"> = 3(</w:t>
      </w:r>
      <w:r>
        <w:rPr>
          <w:i/>
        </w:rPr>
        <w:t>p</w:t>
      </w:r>
      <w:r>
        <w:rPr/>
        <w:t xml:space="preserve"> + 1)/</w:t>
      </w:r>
      <w:r>
        <w:rPr>
          <w:i/>
        </w:rPr>
        <w:t>n</w:t>
      </w:r>
      <w:r>
        <w:rPr/>
        <w:t>, and standardised residuals within ±3.</w:t>
      </w:r>
    </w:p>
    <w:p>
      <w:pPr>
        <w:pStyle w:val="Heading2"/>
      </w:pPr>
      <w:r>
        <w:rPr/>
        <w:t>Use of AI tools</w:t>
      </w:r>
    </w:p>
    <w:p>
      <w:r>
        <w:rPr>
          <w:b/>
          <w:highlight w:val="yellow"/>
        </w:rPr>
        <w:t>[AUTHOR TO COMPLETE BEFORE SUBMISSION: statement on the use of AI tools in this work, as required by the journal (Springer policy: use of large language models beyond copy editing must be documented in the Methods).]</w:t>
      </w:r>
    </w:p>
    <w:p>
      <w:pPr>
        <w:pStyle w:val="Heading1"/>
      </w:pPr>
      <w:r>
        <w:rPr/>
        <w:t>Results and discussion</w:t>
      </w:r>
    </w:p>
    <w:p>
      <w:pPr>
        <w:ind w:firstLine="340"/>
        <w:jc w:val="both"/>
      </w:pPr>
      <w:r>
        <w:rPr/>
        <w:t>The workflow is summarised in Fig. 1. All quantities are computed; none is fitted to experimental data.</w:t>
      </w:r>
    </w:p>
    <w:p>
      <w:pPr>
        <w:pStyle w:val="Heading2"/>
      </w:pPr>
      <w:r>
        <w:rPr/>
        <w:t>Electronic descriptors of the drugs</w:t>
      </w:r>
    </w:p>
    <w:p>
      <w:pPr>
        <w:ind w:firstLine="340"/>
        <w:jc w:val="both"/>
      </w:pPr>
      <w:r>
        <w:rPr/>
        <w:t>All drug LUMOs lie below the LUMO of the cage (−6.08 eV), and all HOMOs lie above the cage HOMO (−10.38 eV) except those of olaparib, talazoparib, paclitaxel, SN-38 and exatecan (Fig. 2a): the frontier levels of the drugs fall largely inside the wide gap of the cage. The anthracyclines epirubicin and doxorubicin are the softest and most electrophilic molecules of the set (Fig. 2b).</w:t>
      </w:r>
    </w:p>
    <w:p>
      <w:pPr>
        <w:keepNext/>
        <w:jc w:val="center"/>
      </w:pPr>
      <w:r>
        <w:drawing>
          <wp:inline xmlns:a="http://schemas.openxmlformats.org/drawingml/2006/main" xmlns:pic="http://schemas.openxmlformats.org/drawingml/2006/picture">
            <wp:extent cx="6264000" cy="360732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6264000" cy="3607320"/>
                    </a:xfrm>
                    <a:prstGeom prst="rect"/>
                  </pic:spPr>
                </pic:pic>
              </a:graphicData>
            </a:graphic>
          </wp:inline>
        </w:drawing>
      </w:r>
    </w:p>
    <w:p>
      <w:pPr>
        <w:spacing w:after="240" w:line="276" w:lineRule="auto"/>
        <w:jc w:val="both"/>
      </w:pPr>
      <w:r>
        <w:rPr>
          <w:b/>
          <w:sz w:val="20"/>
        </w:rPr>
        <w:t>Fig. 2</w:t>
      </w:r>
      <w:r>
        <w:rPr>
          <w:sz w:val="20"/>
        </w:rPr>
        <w:t xml:space="preserve"> </w:t>
      </w:r>
      <w:r>
        <w:rPr>
          <w:sz w:val="20"/>
        </w:rPr>
        <w:t xml:space="preserve">GFN2-xTB frontier orbitals of the relaxed drugs. </w:t>
      </w:r>
      <w:r>
        <w:rPr>
          <w:b/>
          <w:sz w:val="20"/>
        </w:rPr>
        <w:t>a</w:t>
      </w:r>
      <w:r>
        <w:rPr>
          <w:sz w:val="20"/>
        </w:rPr>
        <w:t xml:space="preserve"> HOMO (circles) and LUMO (squares) of each drug, sorted by gap and coloured by family; dashed lines, HOMO and LUMO of the B</w:t>
      </w:r>
      <w:r>
        <w:rPr>
          <w:sz w:val="20"/>
          <w:vertAlign w:val="subscript"/>
        </w:rPr>
        <w:t>36</w:t>
      </w:r>
      <w:r>
        <w:rPr>
          <w:sz w:val="20"/>
        </w:rPr>
        <w:t>N</w:t>
      </w:r>
      <w:r>
        <w:rPr>
          <w:sz w:val="20"/>
          <w:vertAlign w:val="subscript"/>
        </w:rPr>
        <w:t>36</w:t>
      </w:r>
      <w:r>
        <w:rPr>
          <w:sz w:val="20"/>
        </w:rPr>
        <w:t xml:space="preserve"> cage. </w:t>
      </w:r>
      <w:r>
        <w:rPr>
          <w:b/>
          <w:sz w:val="20"/>
        </w:rPr>
        <w:t>b</w:t>
      </w:r>
      <w:r>
        <w:rPr>
          <w:sz w:val="20"/>
        </w:rPr>
        <w:t xml:space="preserve"> Chemical hardness η versus electrophilicity ω</w:t>
      </w:r>
    </w:p>
    <w:p>
      <w:pPr>
        <w:pStyle w:val="Heading2"/>
      </w:pPr>
      <w:r>
        <w:rPr/>
        <w:t>Validated docking into the PARP1 nicotinamide pocket</w:t>
      </w:r>
    </w:p>
    <w:p>
      <w:pPr>
        <w:ind w:firstLine="340"/>
        <w:jc w:val="both"/>
      </w:pPr>
      <w:r>
        <w:rPr/>
        <w:t>Self-redocking of talazoparib from its crystal conformation reproduced the deposited pose with a heavy-atom RMSD of 0.51 Å (−11.9 kcal mol</w:t>
      </w:r>
      <w:r>
        <w:rPr>
          <w:vertAlign w:val="superscript"/>
        </w:rPr>
        <w:t>−1</w:t>
      </w:r>
      <w:r>
        <w:rPr/>
        <w:t>), and the same ligand rebuilt from SMILES through the production protocol reached 1.27 Å (Fig. 3a; Table S2), both within the usual 2 Å criterion. Across the 30 drugs, the most frequently contacted residues were Tyr907, Tyr896, His862, Tyr889, Asp766, Gly863 (Fig. 3b), the nicotinamide-site residues that anchor clinical PARP inhibitors. Scores ranged from −12.8 to −7.8 kcal mol</w:t>
      </w:r>
      <w:r>
        <w:rPr>
          <w:vertAlign w:val="superscript"/>
        </w:rPr>
        <w:t>−1</w:t>
      </w:r>
      <w:r>
        <w:rPr/>
        <w:t xml:space="preserve"> (Table 1, Fig. 4a; per-drug values in Table S3). The two best-scoring drugs were the approved PARP inhibitors olaparib (−12.8) and talazoparib (−12.2 kcal mol</w:t>
      </w:r>
      <w:r>
        <w:rPr>
          <w:vertAlign w:val="superscript"/>
        </w:rPr>
        <w:t>−1</w:t>
      </w:r>
      <w:r>
        <w:rPr/>
        <w:t xml:space="preserve">), a useful plausibility check, although the three families did not differ significantly (Kruskal–Wallis </w:t>
      </w:r>
      <w:r>
        <w:rPr>
          <w:i/>
        </w:rPr>
        <w:t>p</w:t>
      </w:r>
      <w:r>
        <w:rPr/>
        <w:t xml:space="preserve"> = 0.22).</w:t>
      </w:r>
    </w:p>
    <w:p>
      <w:pPr>
        <w:keepNext/>
        <w:jc w:val="center"/>
      </w:pPr>
      <w:r>
        <w:drawing>
          <wp:inline xmlns:a="http://schemas.openxmlformats.org/drawingml/2006/main" xmlns:pic="http://schemas.openxmlformats.org/drawingml/2006/picture">
            <wp:extent cx="6264000" cy="2872832"/>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6264000" cy="2872832"/>
                    </a:xfrm>
                    <a:prstGeom prst="rect"/>
                  </pic:spPr>
                </pic:pic>
              </a:graphicData>
            </a:graphic>
          </wp:inline>
        </w:drawing>
      </w:r>
    </w:p>
    <w:p>
      <w:pPr>
        <w:spacing w:after="240" w:line="276" w:lineRule="auto"/>
        <w:jc w:val="both"/>
      </w:pPr>
      <w:r>
        <w:rPr>
          <w:b/>
          <w:sz w:val="20"/>
        </w:rPr>
        <w:t>Fig. 3</w:t>
      </w:r>
      <w:r>
        <w:rPr>
          <w:sz w:val="20"/>
        </w:rPr>
        <w:t xml:space="preserve"> </w:t>
      </w:r>
      <w:r>
        <w:rPr>
          <w:sz w:val="20"/>
        </w:rPr>
        <w:t xml:space="preserve">Docking validation in PARP1 (PDB 4UND, chain A). </w:t>
      </w:r>
      <w:r>
        <w:rPr>
          <w:b/>
          <w:sz w:val="20"/>
        </w:rPr>
        <w:t>a</w:t>
      </w:r>
      <w:r>
        <w:rPr>
          <w:sz w:val="20"/>
        </w:rPr>
        <w:t xml:space="preserve"> Crystallographic talazoparib (grey), its self-redocked pose (orange, RMSD 0.51 Å) and the pose obtained from SMILES with the production protocol (teal, 1.27 Å); contact residues as thin sticks, polar contacts dashed. </w:t>
      </w:r>
      <w:r>
        <w:rPr>
          <w:b/>
          <w:sz w:val="20"/>
        </w:rPr>
        <w:t>b</w:t>
      </w:r>
      <w:r>
        <w:rPr>
          <w:sz w:val="20"/>
        </w:rPr>
        <w:t xml:space="preserve"> Fraction of the 30 docked drugs contacting each residue (heavy atoms within 4.0 Å); dark bars, polar contacts (N/O within 3.5 Å)</w:t>
      </w:r>
    </w:p>
    <w:p>
      <w:pPr>
        <w:keepNext/>
        <w:jc w:val="center"/>
      </w:pPr>
      <w:r>
        <w:drawing>
          <wp:inline xmlns:a="http://schemas.openxmlformats.org/drawingml/2006/main" xmlns:pic="http://schemas.openxmlformats.org/drawingml/2006/picture">
            <wp:extent cx="6264000" cy="3362530"/>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6264000" cy="3362530"/>
                    </a:xfrm>
                    <a:prstGeom prst="rect"/>
                  </pic:spPr>
                </pic:pic>
              </a:graphicData>
            </a:graphic>
          </wp:inline>
        </w:drawing>
      </w:r>
    </w:p>
    <w:p>
      <w:pPr>
        <w:spacing w:after="240" w:line="276" w:lineRule="auto"/>
        <w:jc w:val="both"/>
      </w:pPr>
      <w:r>
        <w:rPr>
          <w:b/>
          <w:sz w:val="20"/>
        </w:rPr>
        <w:t>Fig. 4</w:t>
      </w:r>
      <w:r>
        <w:rPr>
          <w:sz w:val="20"/>
        </w:rPr>
        <w:t xml:space="preserve"> </w:t>
      </w:r>
      <w:r>
        <w:rPr>
          <w:b/>
          <w:sz w:val="20"/>
        </w:rPr>
        <w:t>a</w:t>
      </w:r>
      <w:r>
        <w:rPr>
          <w:sz w:val="20"/>
        </w:rPr>
        <w:t xml:space="preserve"> Vina scores of the drugs in PARP1, coloured by family. </w:t>
      </w:r>
      <w:r>
        <w:rPr>
          <w:b/>
          <w:sz w:val="20"/>
        </w:rPr>
        <w:t>b</w:t>
      </w:r>
      <w:r>
        <w:rPr>
          <w:sz w:val="20"/>
        </w:rPr>
        <w:t xml:space="preserve"> Vina score versus −Δ</w:t>
      </w:r>
      <w:r>
        <w:rPr>
          <w:i/>
          <w:sz w:val="20"/>
        </w:rPr>
        <w:t>E</w:t>
      </w:r>
      <w:r>
        <w:rPr>
          <w:sz w:val="20"/>
          <w:vertAlign w:val="subscript"/>
        </w:rPr>
        <w:t>int</w:t>
      </w:r>
      <w:r>
        <w:rPr>
          <w:sz w:val="20"/>
        </w:rPr>
        <w:t xml:space="preserve"> on B</w:t>
      </w:r>
      <w:r>
        <w:rPr>
          <w:sz w:val="20"/>
          <w:vertAlign w:val="subscript"/>
        </w:rPr>
        <w:t>36</w:t>
      </w:r>
      <w:r>
        <w:rPr>
          <w:sz w:val="20"/>
        </w:rPr>
        <w:t>N</w:t>
      </w:r>
      <w:r>
        <w:rPr>
          <w:sz w:val="20"/>
          <w:vertAlign w:val="subscript"/>
        </w:rPr>
        <w:t>36</w:t>
      </w:r>
      <w:r>
        <w:rPr>
          <w:sz w:val="20"/>
        </w:rPr>
        <w:t>; open symbols, chemisorbed drugs</w:t>
      </w:r>
    </w:p>
    <w:p>
      <w:pPr>
        <w:pStyle w:val="Heading2"/>
      </w:pPr>
      <w:r>
        <w:rPr/>
        <w:t>Physisorption and dative-bond chemisorption on B</w:t>
      </w:r>
      <w:r>
        <w:rPr>
          <w:vertAlign w:val="subscript"/>
        </w:rPr>
        <w:t>36</w:t>
      </w:r>
      <w:r>
        <w:rPr/>
        <w:t>N</w:t>
      </w:r>
      <w:r>
        <w:rPr>
          <w:vertAlign w:val="subscript"/>
        </w:rPr>
        <w:t>36</w:t>
      </w:r>
    </w:p>
    <w:p>
      <w:pPr>
        <w:ind w:firstLine="340"/>
        <w:jc w:val="both"/>
      </w:pPr>
      <w:r>
        <w:rPr/>
        <w:t>The cage used here is a valid B</w:t>
      </w:r>
      <w:r>
        <w:rPr>
          <w:vertAlign w:val="subscript"/>
        </w:rPr>
        <w:t>36</w:t>
      </w:r>
      <w:r>
        <w:rPr/>
        <w:t>N</w:t>
      </w:r>
      <w:r>
        <w:rPr>
          <w:vertAlign w:val="subscript"/>
        </w:rPr>
        <w:t>36</w:t>
      </w:r>
      <w:r>
        <w:rPr/>
        <w:t xml:space="preserve"> fullerene-like polyhedron (Fig. 5a). After full relaxation from four orientations, 18 drugs remained physisorbed, with interaction energies of −6.0 to −41.3 kcal mol</w:t>
      </w:r>
      <w:r>
        <w:rPr>
          <w:vertAlign w:val="superscript"/>
        </w:rPr>
        <w:t>−1</w:t>
      </w:r>
      <w:r>
        <w:rPr/>
        <w:t xml:space="preserve"> and closest contacts of 1.76–3.28 Å (the shortest, SN-38, lies just above the B–O bonding threshold of 1.73 Å), whereas 12 formed a bond to a cage boron atom: 8 B–O and 5 B–N dative bonds of 1.43–1.74 Å (Fig. 6a, Table 1). Carbonyl or hydroxyl oxygens and nitrogen lone pairs of the drugs act as the Lewis bases, as expected for the electron-deficient boron sites of BN cages. Excluding doxorubicin, the chemisorbed drugs bind about 1.8 times more strongly than the physisorbed ones (mean −46.5 versus −26.2 kcal mol</w:t>
      </w:r>
      <w:r>
        <w:rPr>
          <w:vertAlign w:val="superscript"/>
        </w:rPr>
        <w:t>−1</w:t>
      </w:r>
      <w:r>
        <w:rPr/>
        <w:t>), while the adsorption energy, which includes the strain of both partners, is less different (−28.8 versus −23.5 kcal mol</w:t>
      </w:r>
      <w:r>
        <w:rPr>
          <w:vertAlign w:val="superscript"/>
        </w:rPr>
        <w:t>−1</w:t>
      </w:r>
      <w:r>
        <w:rPr/>
        <w:t>), because it also counts the deformation that the dative bond imposes on the drug and on the cage. All three families contain both regimes (Fig. 6b). The cage stays intact throughout: in every complex it keeps its 108 B–N bonds and forms no B–B or N–N bond, and its energy never falls below that of the isolated cage (from 0.0 to 31.6 kcal mol</w:t>
      </w:r>
      <w:r>
        <w:rPr>
          <w:vertAlign w:val="superscript"/>
        </w:rPr>
        <w:t>−1</w:t>
      </w:r>
      <w:r>
        <w:rPr/>
        <w:t xml:space="preserve"> above it, the cost of its distortion).</w:t>
      </w:r>
    </w:p>
    <w:p>
      <w:pPr>
        <w:ind w:firstLine="340"/>
        <w:jc w:val="both"/>
      </w:pPr>
      <w:r>
        <w:rPr/>
        <w:t>Doxorubicin is a special case: in the relaxed complex it forms a covalent bond to the cage in addition to a dative one, and an intramolecular proton moves between two of its oxygen atoms. Its very large interaction energy therefore describes a chemical reaction rather than adsorption; it is flagged in Table 1 and excluded from the QSPR model of Δ</w:t>
      </w:r>
      <w:r>
        <w:rPr>
          <w:i/>
        </w:rPr>
        <w:t>E</w:t>
      </w:r>
      <w:r>
        <w:rPr>
          <w:vertAlign w:val="subscript"/>
        </w:rPr>
        <w:t>int</w:t>
      </w:r>
      <w:r>
        <w:rPr/>
        <w:t>.</w:t>
      </w:r>
    </w:p>
    <w:p>
      <w:pPr>
        <w:keepNext/>
        <w:jc w:val="center"/>
      </w:pPr>
      <w:r>
        <w:drawing>
          <wp:inline xmlns:a="http://schemas.openxmlformats.org/drawingml/2006/main" xmlns:pic="http://schemas.openxmlformats.org/drawingml/2006/picture">
            <wp:extent cx="6264000" cy="1695973"/>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6264000" cy="1695973"/>
                    </a:xfrm>
                    <a:prstGeom prst="rect"/>
                  </pic:spPr>
                </pic:pic>
              </a:graphicData>
            </a:graphic>
          </wp:inline>
        </w:drawing>
      </w:r>
    </w:p>
    <w:p>
      <w:pPr>
        <w:spacing w:after="240" w:line="276" w:lineRule="auto"/>
        <w:jc w:val="both"/>
      </w:pPr>
      <w:r>
        <w:rPr>
          <w:b/>
          <w:sz w:val="20"/>
        </w:rPr>
        <w:t>Fig. 5</w:t>
      </w:r>
      <w:r>
        <w:rPr>
          <w:sz w:val="20"/>
        </w:rPr>
        <w:t xml:space="preserve"> </w:t>
      </w:r>
      <w:r>
        <w:rPr>
          <w:sz w:val="20"/>
        </w:rPr>
        <w:t xml:space="preserve">Relaxed GFN2-xTB structures. </w:t>
      </w:r>
      <w:r>
        <w:rPr>
          <w:b/>
          <w:sz w:val="20"/>
        </w:rPr>
        <w:t>a</w:t>
      </w:r>
      <w:r>
        <w:rPr>
          <w:sz w:val="20"/>
        </w:rPr>
        <w:t xml:space="preserve"> The B</w:t>
      </w:r>
      <w:r>
        <w:rPr>
          <w:sz w:val="20"/>
          <w:vertAlign w:val="subscript"/>
        </w:rPr>
        <w:t>36</w:t>
      </w:r>
      <w:r>
        <w:rPr>
          <w:sz w:val="20"/>
        </w:rPr>
        <w:t>N</w:t>
      </w:r>
      <w:r>
        <w:rPr>
          <w:sz w:val="20"/>
          <w:vertAlign w:val="subscript"/>
        </w:rPr>
        <w:t>36</w:t>
      </w:r>
      <w:r>
        <w:rPr>
          <w:sz w:val="20"/>
        </w:rPr>
        <w:t xml:space="preserve"> cage (B pink, N blue). </w:t>
      </w:r>
      <w:r>
        <w:rPr>
          <w:b/>
          <w:sz w:val="20"/>
        </w:rPr>
        <w:t>b</w:t>
      </w:r>
      <w:r>
        <w:rPr>
          <w:sz w:val="20"/>
        </w:rPr>
        <w:t xml:space="preserve">, </w:t>
      </w:r>
      <w:r>
        <w:rPr>
          <w:b/>
          <w:sz w:val="20"/>
        </w:rPr>
        <w:t>c</w:t>
      </w:r>
      <w:r>
        <w:rPr>
          <w:sz w:val="20"/>
        </w:rPr>
        <w:t xml:space="preserve"> Physisorbed olaparib and the most strongly physisorbed drug. </w:t>
      </w:r>
      <w:r>
        <w:rPr>
          <w:b/>
          <w:sz w:val="20"/>
        </w:rPr>
        <w:t>d</w:t>
      </w:r>
      <w:r>
        <w:rPr>
          <w:sz w:val="20"/>
        </w:rPr>
        <w:t xml:space="preserve"> The most strongly chemisorbed drug that keeps its own bonding, attached through B–O dative bonds</w:t>
      </w:r>
    </w:p>
    <w:p>
      <w:pPr>
        <w:keepNext/>
        <w:jc w:val="center"/>
      </w:pPr>
      <w:r>
        <w:drawing>
          <wp:inline xmlns:a="http://schemas.openxmlformats.org/drawingml/2006/main" xmlns:pic="http://schemas.openxmlformats.org/drawingml/2006/picture">
            <wp:extent cx="6264000" cy="2870849"/>
            <wp:docPr id="6" name="Picture 6"/>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6264000" cy="2870849"/>
                    </a:xfrm>
                    <a:prstGeom prst="rect"/>
                  </pic:spPr>
                </pic:pic>
              </a:graphicData>
            </a:graphic>
          </wp:inline>
        </w:drawing>
      </w:r>
    </w:p>
    <w:p>
      <w:pPr>
        <w:spacing w:after="240" w:line="276" w:lineRule="auto"/>
        <w:jc w:val="both"/>
      </w:pPr>
      <w:r>
        <w:rPr>
          <w:b/>
          <w:sz w:val="20"/>
        </w:rPr>
        <w:t>Fig. 6</w:t>
      </w:r>
      <w:r>
        <w:rPr>
          <w:sz w:val="20"/>
        </w:rPr>
        <w:t xml:space="preserve"> </w:t>
      </w:r>
      <w:r>
        <w:rPr>
          <w:sz w:val="20"/>
        </w:rPr>
        <w:t>Adsorption on B</w:t>
      </w:r>
      <w:r>
        <w:rPr>
          <w:sz w:val="20"/>
          <w:vertAlign w:val="subscript"/>
        </w:rPr>
        <w:t>36</w:t>
      </w:r>
      <w:r>
        <w:rPr>
          <w:sz w:val="20"/>
        </w:rPr>
        <w:t>N</w:t>
      </w:r>
      <w:r>
        <w:rPr>
          <w:sz w:val="20"/>
          <w:vertAlign w:val="subscript"/>
        </w:rPr>
        <w:t>36</w:t>
      </w:r>
      <w:r>
        <w:rPr>
          <w:sz w:val="20"/>
        </w:rPr>
        <w:t xml:space="preserve">. </w:t>
      </w:r>
      <w:r>
        <w:rPr>
          <w:b/>
          <w:sz w:val="20"/>
        </w:rPr>
        <w:t>a</w:t>
      </w:r>
      <w:r>
        <w:rPr>
          <w:sz w:val="20"/>
        </w:rPr>
        <w:t xml:space="preserve"> Closest drug–cage heavy-atom contact versus −Δ</w:t>
      </w:r>
      <w:r>
        <w:rPr>
          <w:i/>
          <w:sz w:val="20"/>
        </w:rPr>
        <w:t>E</w:t>
      </w:r>
      <w:r>
        <w:rPr>
          <w:sz w:val="20"/>
          <w:vertAlign w:val="subscript"/>
        </w:rPr>
        <w:t>int</w:t>
      </w:r>
      <w:r>
        <w:rPr>
          <w:sz w:val="20"/>
        </w:rPr>
        <w:t xml:space="preserve">; red, chemisorbed (drug–cage bond formed); blue, physisorbed; cross, drug whose own bonding changed. </w:t>
      </w:r>
      <w:r>
        <w:rPr>
          <w:b/>
          <w:sz w:val="20"/>
        </w:rPr>
        <w:t>b</w:t>
      </w:r>
      <w:r>
        <w:rPr>
          <w:sz w:val="20"/>
        </w:rPr>
        <w:t xml:space="preserve"> −Δ</w:t>
      </w:r>
      <w:r>
        <w:rPr>
          <w:i/>
          <w:sz w:val="20"/>
        </w:rPr>
        <w:t>E</w:t>
      </w:r>
      <w:r>
        <w:rPr>
          <w:sz w:val="20"/>
          <w:vertAlign w:val="subscript"/>
        </w:rPr>
        <w:t>int</w:t>
      </w:r>
      <w:r>
        <w:rPr>
          <w:sz w:val="20"/>
        </w:rPr>
        <w:t xml:space="preserve"> by therapeutic family</w:t>
      </w:r>
    </w:p>
    <w:p>
      <w:pPr>
        <w:pStyle w:val="Heading2"/>
      </w:pPr>
      <w:r>
        <w:rPr/>
        <w:t>Docking and adsorption are independent</w:t>
      </w:r>
    </w:p>
    <w:p>
      <w:pPr>
        <w:ind w:firstLine="340"/>
        <w:jc w:val="both"/>
      </w:pPr>
      <w:r>
        <w:rPr/>
        <w:t xml:space="preserve">The PARP1 docking score and the cage interaction energy are uncorrelated (Spearman ρ = 0.05, </w:t>
      </w:r>
      <w:r>
        <w:rPr>
          <w:i/>
        </w:rPr>
        <w:t>p</w:t>
      </w:r>
      <w:r>
        <w:rPr/>
        <w:t xml:space="preserve"> = 0.79; Fig. 4b): in this set, how well a drug scores in the target carries no information about how strongly the carrier holds it. For delivery this is favourable, because the two properties can be selected independently; for example, olaparib combines the best docking score with weak physisorption, which would favour release.</w:t>
      </w:r>
    </w:p>
    <w:p>
      <w:pPr>
        <w:pStyle w:val="Heading2"/>
      </w:pPr>
      <w:r>
        <w:rPr/>
        <w:t>QSPR models</w:t>
      </w:r>
    </w:p>
    <w:p>
      <w:pPr>
        <w:ind w:firstLine="340"/>
        <w:jc w:val="both"/>
      </w:pPr>
      <w:r>
        <w:rPr/>
        <w:t>Neither endpoint could be predicted from the four pre-selected descriptors. For the docking score (</w:t>
      </w:r>
      <w:r>
        <w:rPr>
          <w:i/>
        </w:rPr>
        <w:t>n</w:t>
      </w:r>
      <w:r>
        <w:rPr/>
        <w:t xml:space="preserve"> = 30) the out-of-fold </w:t>
      </w:r>
      <w:r>
        <w:rPr>
          <w:i/>
        </w:rPr>
        <w:t>Q</w:t>
      </w:r>
      <w:r>
        <w:rPr>
          <w:vertAlign w:val="superscript"/>
        </w:rPr>
        <w:t>2</w:t>
      </w:r>
      <w:r>
        <w:rPr>
          <w:vertAlign w:val="subscript"/>
        </w:rPr>
        <w:t>CV</w:t>
      </w:r>
      <w:r>
        <w:rPr/>
        <w:t xml:space="preserve"> was −0.08 (RMSE 1.21 kcal mol</w:t>
      </w:r>
      <w:r>
        <w:rPr>
          <w:vertAlign w:val="superscript"/>
        </w:rPr>
        <w:t>−1</w:t>
      </w:r>
      <w:r>
        <w:rPr/>
        <w:t>), and for Δ</w:t>
      </w:r>
      <w:r>
        <w:rPr>
          <w:i/>
        </w:rPr>
        <w:t>E</w:t>
      </w:r>
      <w:r>
        <w:rPr>
          <w:vertAlign w:val="subscript"/>
        </w:rPr>
        <w:t>int</w:t>
      </w:r>
      <w:r>
        <w:rPr/>
        <w:t xml:space="preserve"> (</w:t>
      </w:r>
      <w:r>
        <w:rPr>
          <w:i/>
        </w:rPr>
        <w:t>n</w:t>
      </w:r>
      <w:r>
        <w:rPr/>
        <w:t xml:space="preserve"> = 29) it was −0.08 (RMSE 13.9 kcal mol</w:t>
      </w:r>
      <w:r>
        <w:rPr>
          <w:vertAlign w:val="superscript"/>
        </w:rPr>
        <w:t>−1</w:t>
      </w:r>
      <w:r>
        <w:rPr/>
        <w:t>); in both cases Y-scrambled models did as well (</w:t>
      </w:r>
      <w:r>
        <w:rPr>
          <w:i/>
        </w:rPr>
        <w:t>p</w:t>
      </w:r>
      <w:r>
        <w:rPr/>
        <w:t xml:space="preserve"> = 0.35 and 0.32; Fig. 7, Table 2, Table S4). The adsorption result is chemically reasonable: whether a drug chemisorbs depends on whether one of its Lewis-basic groups can reach a boron atom in a favourable geometry, a local structural feature that global descriptors such as molecular weight or electrophilicity do not encode. In both models all drugs except epirubicin lie inside the applicability domain, so the failure is not an extrapolation effect. These negative results are reported as such; they indicate that, at least with global descriptors of this kind, screening B</w:t>
      </w:r>
      <w:r>
        <w:rPr>
          <w:vertAlign w:val="subscript"/>
        </w:rPr>
        <w:t>36</w:t>
      </w:r>
      <w:r>
        <w:rPr/>
        <w:t>N</w:t>
      </w:r>
      <w:r>
        <w:rPr>
          <w:vertAlign w:val="subscript"/>
        </w:rPr>
        <w:t>36</w:t>
      </w:r>
      <w:r>
        <w:rPr/>
        <w:t xml:space="preserve"> carriers requires explicit adsorption calculations.</w:t>
      </w:r>
    </w:p>
    <w:p>
      <w:pPr>
        <w:keepNext/>
        <w:jc w:val="center"/>
      </w:pPr>
      <w:r>
        <w:drawing>
          <wp:inline xmlns:a="http://schemas.openxmlformats.org/drawingml/2006/main" xmlns:pic="http://schemas.openxmlformats.org/drawingml/2006/picture">
            <wp:extent cx="6264000" cy="4302228"/>
            <wp:docPr id="7" name="Picture 7"/>
            <wp:cNvGraphicFramePr>
              <a:graphicFrameLocks noChangeAspect="1"/>
            </wp:cNvGraphicFramePr>
            <a:graphic>
              <a:graphicData uri="http://schemas.openxmlformats.org/drawingml/2006/picture">
                <pic:pic>
                  <pic:nvPicPr>
                    <pic:cNvPr id="0" name="Fig7.png"/>
                    <pic:cNvPicPr/>
                  </pic:nvPicPr>
                  <pic:blipFill>
                    <a:blip r:embed="rId16"/>
                    <a:stretch>
                      <a:fillRect/>
                    </a:stretch>
                  </pic:blipFill>
                  <pic:spPr>
                    <a:xfrm>
                      <a:off x="0" y="0"/>
                      <a:ext cx="6264000" cy="4302228"/>
                    </a:xfrm>
                    <a:prstGeom prst="rect"/>
                  </pic:spPr>
                </pic:pic>
              </a:graphicData>
            </a:graphic>
          </wp:inline>
        </w:drawing>
      </w:r>
    </w:p>
    <w:p>
      <w:pPr>
        <w:spacing w:after="240" w:line="276" w:lineRule="auto"/>
        <w:jc w:val="both"/>
      </w:pPr>
      <w:r>
        <w:rPr>
          <w:b/>
          <w:sz w:val="20"/>
        </w:rPr>
        <w:t>Fig. 7</w:t>
      </w:r>
      <w:r>
        <w:rPr>
          <w:sz w:val="20"/>
        </w:rPr>
        <w:t xml:space="preserve"> </w:t>
      </w:r>
      <w:r>
        <w:rPr>
          <w:sz w:val="20"/>
        </w:rPr>
        <w:t>QSPR models, nested 5×5 cross-validation. Top row, Vina score on PARP1; bottom row, Δ</w:t>
      </w:r>
      <w:r>
        <w:rPr>
          <w:i/>
          <w:sz w:val="20"/>
        </w:rPr>
        <w:t>E</w:t>
      </w:r>
      <w:r>
        <w:rPr>
          <w:sz w:val="20"/>
          <w:vertAlign w:val="subscript"/>
        </w:rPr>
        <w:t>int</w:t>
      </w:r>
      <w:r>
        <w:rPr>
          <w:sz w:val="20"/>
        </w:rPr>
        <w:t xml:space="preserve"> on B</w:t>
      </w:r>
      <w:r>
        <w:rPr>
          <w:sz w:val="20"/>
          <w:vertAlign w:val="subscript"/>
        </w:rPr>
        <w:t>36</w:t>
      </w:r>
      <w:r>
        <w:rPr>
          <w:sz w:val="20"/>
        </w:rPr>
        <w:t>N</w:t>
      </w:r>
      <w:r>
        <w:rPr>
          <w:sz w:val="20"/>
          <w:vertAlign w:val="subscript"/>
        </w:rPr>
        <w:t>36</w:t>
      </w:r>
      <w:r>
        <w:rPr>
          <w:sz w:val="20"/>
        </w:rPr>
        <w:t xml:space="preserve">. </w:t>
      </w:r>
      <w:r>
        <w:rPr>
          <w:b/>
          <w:sz w:val="20"/>
        </w:rPr>
        <w:t>a</w:t>
      </w:r>
      <w:r>
        <w:rPr>
          <w:sz w:val="20"/>
        </w:rPr>
        <w:t xml:space="preserve">, </w:t>
      </w:r>
      <w:r>
        <w:rPr>
          <w:b/>
          <w:sz w:val="20"/>
        </w:rPr>
        <w:t>d</w:t>
      </w:r>
      <w:r>
        <w:rPr>
          <w:sz w:val="20"/>
        </w:rPr>
        <w:t xml:space="preserve"> Out-of-fold predictions (dashed, identity; shaded, ±10% of the range). </w:t>
      </w:r>
      <w:r>
        <w:rPr>
          <w:b/>
          <w:sz w:val="20"/>
        </w:rPr>
        <w:t>b</w:t>
      </w:r>
      <w:r>
        <w:rPr>
          <w:sz w:val="20"/>
        </w:rPr>
        <w:t xml:space="preserve">, </w:t>
      </w:r>
      <w:r>
        <w:rPr>
          <w:b/>
          <w:sz w:val="20"/>
        </w:rPr>
        <w:t>e</w:t>
      </w:r>
      <w:r>
        <w:rPr>
          <w:sz w:val="20"/>
        </w:rPr>
        <w:t xml:space="preserve"> Williams plots (dotted, warning leverage </w:t>
      </w:r>
      <w:r>
        <w:rPr>
          <w:i/>
          <w:sz w:val="20"/>
        </w:rPr>
        <w:t>h</w:t>
      </w:r>
      <w:r>
        <w:rPr>
          <w:sz w:val="20"/>
          <w:vertAlign w:val="superscript"/>
        </w:rPr>
        <w:t>*</w:t>
      </w:r>
      <w:r>
        <w:rPr>
          <w:sz w:val="20"/>
        </w:rPr>
        <w:t xml:space="preserve">; dashed, ±3 standardised residuals). </w:t>
      </w:r>
      <w:r>
        <w:rPr>
          <w:b/>
          <w:sz w:val="20"/>
        </w:rPr>
        <w:t>c</w:t>
      </w:r>
      <w:r>
        <w:rPr>
          <w:sz w:val="20"/>
        </w:rPr>
        <w:t xml:space="preserve">, </w:t>
      </w:r>
      <w:r>
        <w:rPr>
          <w:b/>
          <w:sz w:val="20"/>
        </w:rPr>
        <w:t>f</w:t>
      </w:r>
      <w:r>
        <w:rPr>
          <w:sz w:val="20"/>
        </w:rPr>
        <w:t xml:space="preserve"> </w:t>
      </w:r>
      <w:r>
        <w:rPr>
          <w:i/>
          <w:sz w:val="20"/>
        </w:rPr>
        <w:t>Q</w:t>
      </w:r>
      <w:r>
        <w:rPr>
          <w:sz w:val="20"/>
          <w:vertAlign w:val="superscript"/>
        </w:rPr>
        <w:t>2</w:t>
      </w:r>
      <w:r>
        <w:rPr>
          <w:sz w:val="20"/>
          <w:vertAlign w:val="subscript"/>
        </w:rPr>
        <w:t>CV</w:t>
      </w:r>
      <w:r>
        <w:rPr>
          <w:sz w:val="20"/>
        </w:rPr>
        <w:t xml:space="preserve"> of 1,000 models fitted to permuted targets</w:t>
      </w:r>
    </w:p>
    <w:p>
      <w:pPr>
        <w:keepNext/>
        <w:spacing w:after="80"/>
      </w:pPr>
      <w:r>
        <w:rPr>
          <w:b/>
          <w:sz w:val="20"/>
        </w:rPr>
        <w:t>Table 1</w:t>
      </w:r>
      <w:r>
        <w:rPr>
          <w:sz w:val="20"/>
        </w:rPr>
        <w:t xml:space="preserve"> </w:t>
      </w:r>
      <w:r>
        <w:rPr>
          <w:sz w:val="20"/>
        </w:rPr>
        <w:t>Docking and adsorption results for the 30 organic drugs, sorted by Vina score.</w:t>
      </w:r>
    </w:p>
    <w:tbl>
      <w:tblPr>
        <w:jc w:val="left"/>
        <w:tblLayout w:type="fixed"/>
        <w:tblLook w:firstColumn="1" w:firstRow="1" w:lastColumn="0" w:lastRow="0" w:noHBand="0" w:noVBand="1" w:val="04A0"/>
        <w:tblBorders>
          <w:top w:val="nil"/>
          <w:left w:val="nil"/>
          <w:bottom w:val="nil"/>
          <w:right w:val="nil"/>
          <w:insideH w:val="nil"/>
          <w:insideV w:val="nil"/>
        </w:tblBorders>
        <w:tblLayout w:type="fixed"/>
        <w:tblW w:w="7483" w:type="dxa"/>
      </w:tblPr>
      <w:tblGrid>
        <w:gridCol w:w="1700"/>
        <w:gridCol w:w="1020"/>
        <w:gridCol w:w="1020"/>
        <w:gridCol w:w="1020"/>
        <w:gridCol w:w="907"/>
        <w:gridCol w:w="793"/>
        <w:gridCol w:w="1020"/>
      </w:tblGrid>
      <w:tr>
        <w:tc>
          <w:tcPr>
            <w:tcW w:type="dxa" w:w="1701"/>
            <w:tcBorders>
              <w:top w:val="single" w:sz="12" w:color="000000"/>
              <w:bottom w:val="single" w:sz="6" w:color="000000"/>
            </w:tcBorders>
          </w:tcPr>
          <w:p>
            <w:pPr>
              <w:spacing w:after="20" w:before="20" w:line="240" w:lineRule="auto"/>
              <w:jc w:val="left"/>
            </w:pPr>
            <w:r>
              <w:rPr>
                <w:b/>
                <w:sz w:val="16"/>
              </w:rPr>
              <w:t>Drug</w:t>
            </w:r>
          </w:p>
        </w:tc>
        <w:tc>
          <w:tcPr>
            <w:tcW w:type="dxa" w:w="1020"/>
            <w:tcBorders>
              <w:top w:val="single" w:sz="12" w:color="000000"/>
              <w:bottom w:val="single" w:sz="6" w:color="000000"/>
            </w:tcBorders>
          </w:tcPr>
          <w:p>
            <w:pPr>
              <w:spacing w:after="20" w:before="20" w:line="240" w:lineRule="auto"/>
              <w:jc w:val="left"/>
            </w:pPr>
            <w:r>
              <w:rPr>
                <w:b/>
                <w:sz w:val="16"/>
              </w:rPr>
              <w:t>Family</w:t>
            </w:r>
          </w:p>
        </w:tc>
        <w:tc>
          <w:tcPr>
            <w:tcW w:type="dxa" w:w="1020"/>
            <w:tcBorders>
              <w:top w:val="single" w:sz="12" w:color="000000"/>
              <w:bottom w:val="single" w:sz="6" w:color="000000"/>
            </w:tcBorders>
          </w:tcPr>
          <w:p>
            <w:pPr>
              <w:spacing w:after="20" w:before="20" w:line="240" w:lineRule="auto"/>
              <w:jc w:val="center"/>
            </w:pPr>
            <w:r>
              <w:rPr>
                <w:b/>
                <w:sz w:val="16"/>
              </w:rPr>
              <w:t>Vina</w:t>
            </w:r>
          </w:p>
        </w:tc>
        <w:tc>
          <w:tcPr>
            <w:tcW w:type="dxa" w:w="1020"/>
            <w:tcBorders>
              <w:top w:val="single" w:sz="12" w:color="000000"/>
              <w:bottom w:val="single" w:sz="6" w:color="000000"/>
            </w:tcBorders>
          </w:tcPr>
          <w:p>
            <w:pPr>
              <w:spacing w:after="20" w:before="20" w:line="240" w:lineRule="auto"/>
              <w:jc w:val="center"/>
            </w:pPr>
            <w:r>
              <w:rPr>
                <w:b/>
                <w:sz w:val="16"/>
              </w:rPr>
              <w:t>Δ</w:t>
            </w:r>
            <w:r>
              <w:rPr>
                <w:b/>
                <w:i/>
                <w:sz w:val="16"/>
              </w:rPr>
              <w:t>E</w:t>
            </w:r>
            <w:r>
              <w:rPr>
                <w:b/>
                <w:sz w:val="16"/>
                <w:vertAlign w:val="subscript"/>
              </w:rPr>
              <w:t>int</w:t>
            </w:r>
          </w:p>
        </w:tc>
        <w:tc>
          <w:tcPr>
            <w:tcW w:type="dxa" w:w="907"/>
            <w:tcBorders>
              <w:top w:val="single" w:sz="12" w:color="000000"/>
              <w:bottom w:val="single" w:sz="6" w:color="000000"/>
            </w:tcBorders>
          </w:tcPr>
          <w:p>
            <w:pPr>
              <w:spacing w:after="20" w:before="20" w:line="240" w:lineRule="auto"/>
              <w:jc w:val="center"/>
            </w:pPr>
            <w:r>
              <w:rPr>
                <w:b/>
                <w:sz w:val="16"/>
              </w:rPr>
              <w:t>Δ</w:t>
            </w:r>
            <w:r>
              <w:rPr>
                <w:b/>
                <w:i/>
                <w:sz w:val="16"/>
              </w:rPr>
              <w:t>E</w:t>
            </w:r>
            <w:r>
              <w:rPr>
                <w:b/>
                <w:sz w:val="16"/>
                <w:vertAlign w:val="subscript"/>
              </w:rPr>
              <w:t>ads</w:t>
            </w:r>
          </w:p>
        </w:tc>
        <w:tc>
          <w:tcPr>
            <w:tcW w:type="dxa" w:w="794"/>
            <w:tcBorders>
              <w:top w:val="single" w:sz="12" w:color="000000"/>
              <w:bottom w:val="single" w:sz="6" w:color="000000"/>
            </w:tcBorders>
          </w:tcPr>
          <w:p>
            <w:pPr>
              <w:spacing w:after="20" w:before="20" w:line="240" w:lineRule="auto"/>
              <w:jc w:val="center"/>
            </w:pPr>
            <w:r>
              <w:rPr>
                <w:b/>
                <w:i/>
                <w:sz w:val="16"/>
              </w:rPr>
              <w:t>d</w:t>
            </w:r>
            <w:r>
              <w:rPr>
                <w:b/>
                <w:sz w:val="16"/>
                <w:vertAlign w:val="subscript"/>
              </w:rPr>
              <w:t>min</w:t>
            </w:r>
          </w:p>
        </w:tc>
        <w:tc>
          <w:tcPr>
            <w:tcW w:type="dxa" w:w="1020"/>
            <w:tcBorders>
              <w:top w:val="single" w:sz="12" w:color="000000"/>
              <w:bottom w:val="single" w:sz="6" w:color="000000"/>
            </w:tcBorders>
          </w:tcPr>
          <w:p>
            <w:pPr>
              <w:spacing w:after="20" w:before="20" w:line="240" w:lineRule="auto"/>
              <w:jc w:val="left"/>
            </w:pPr>
            <w:r>
              <w:rPr>
                <w:b/>
                <w:sz w:val="16"/>
              </w:rPr>
              <w:t>Regime</w:t>
            </w:r>
          </w:p>
        </w:tc>
      </w:tr>
      <w:tr>
        <w:tc>
          <w:tcPr>
            <w:tcW w:type="dxa" w:w="1701"/>
          </w:tcPr>
          <w:p>
            <w:pPr>
              <w:spacing w:after="20" w:before="20" w:line="240" w:lineRule="auto"/>
              <w:jc w:val="left"/>
            </w:pPr>
            <w:r>
              <w:rPr>
                <w:sz w:val="16"/>
              </w:rPr>
              <w:t>Olaparib</w:t>
            </w:r>
          </w:p>
        </w:tc>
        <w:tc>
          <w:tcPr>
            <w:tcW w:type="dxa" w:w="1020"/>
          </w:tcPr>
          <w:p>
            <w:pPr>
              <w:spacing w:after="20" w:before="20" w:line="240" w:lineRule="auto"/>
              <w:jc w:val="left"/>
            </w:pPr>
            <w:r>
              <w:rPr>
                <w:sz w:val="16"/>
              </w:rPr>
              <w:t>PARP</w:t>
            </w:r>
          </w:p>
        </w:tc>
        <w:tc>
          <w:tcPr>
            <w:tcW w:type="dxa" w:w="1020"/>
          </w:tcPr>
          <w:p>
            <w:pPr>
              <w:spacing w:after="20" w:before="20" w:line="240" w:lineRule="auto"/>
              <w:jc w:val="center"/>
            </w:pPr>
            <w:r>
              <w:rPr>
                <w:sz w:val="16"/>
              </w:rPr>
              <w:t>−12.80</w:t>
            </w:r>
          </w:p>
        </w:tc>
        <w:tc>
          <w:tcPr>
            <w:tcW w:type="dxa" w:w="1020"/>
          </w:tcPr>
          <w:p>
            <w:pPr>
              <w:spacing w:after="20" w:before="20" w:line="240" w:lineRule="auto"/>
              <w:jc w:val="center"/>
            </w:pPr>
            <w:r>
              <w:rPr>
                <w:sz w:val="16"/>
              </w:rPr>
              <w:t>−6.0</w:t>
            </w:r>
          </w:p>
        </w:tc>
        <w:tc>
          <w:tcPr>
            <w:tcW w:type="dxa" w:w="907"/>
          </w:tcPr>
          <w:p>
            <w:pPr>
              <w:spacing w:after="20" w:before="20" w:line="240" w:lineRule="auto"/>
              <w:jc w:val="center"/>
            </w:pPr>
            <w:r>
              <w:rPr>
                <w:sz w:val="16"/>
              </w:rPr>
              <w:t>−6.0</w:t>
            </w:r>
          </w:p>
        </w:tc>
        <w:tc>
          <w:tcPr>
            <w:tcW w:type="dxa" w:w="794"/>
          </w:tcPr>
          <w:p>
            <w:pPr>
              <w:spacing w:after="20" w:before="20" w:line="240" w:lineRule="auto"/>
              <w:jc w:val="center"/>
            </w:pPr>
            <w:r>
              <w:rPr>
                <w:sz w:val="16"/>
              </w:rPr>
              <w:t>3.28</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Talazoparib</w:t>
            </w:r>
          </w:p>
        </w:tc>
        <w:tc>
          <w:tcPr>
            <w:tcW w:type="dxa" w:w="1020"/>
          </w:tcPr>
          <w:p>
            <w:pPr>
              <w:spacing w:after="20" w:before="20" w:line="240" w:lineRule="auto"/>
              <w:jc w:val="left"/>
            </w:pPr>
            <w:r>
              <w:rPr>
                <w:sz w:val="16"/>
              </w:rPr>
              <w:t>PARP</w:t>
            </w:r>
          </w:p>
        </w:tc>
        <w:tc>
          <w:tcPr>
            <w:tcW w:type="dxa" w:w="1020"/>
          </w:tcPr>
          <w:p>
            <w:pPr>
              <w:spacing w:after="20" w:before="20" w:line="240" w:lineRule="auto"/>
              <w:jc w:val="center"/>
            </w:pPr>
            <w:r>
              <w:rPr>
                <w:sz w:val="16"/>
              </w:rPr>
              <w:t>−12.19</w:t>
            </w:r>
          </w:p>
        </w:tc>
        <w:tc>
          <w:tcPr>
            <w:tcW w:type="dxa" w:w="1020"/>
          </w:tcPr>
          <w:p>
            <w:pPr>
              <w:spacing w:after="20" w:before="20" w:line="240" w:lineRule="auto"/>
              <w:jc w:val="center"/>
            </w:pPr>
            <w:r>
              <w:rPr>
                <w:sz w:val="16"/>
              </w:rPr>
              <w:t>−54.6</w:t>
            </w:r>
          </w:p>
        </w:tc>
        <w:tc>
          <w:tcPr>
            <w:tcW w:type="dxa" w:w="907"/>
          </w:tcPr>
          <w:p>
            <w:pPr>
              <w:spacing w:after="20" w:before="20" w:line="240" w:lineRule="auto"/>
              <w:jc w:val="center"/>
            </w:pPr>
            <w:r>
              <w:rPr>
                <w:sz w:val="16"/>
              </w:rPr>
              <w:t>−37.6</w:t>
            </w:r>
          </w:p>
        </w:tc>
        <w:tc>
          <w:tcPr>
            <w:tcW w:type="dxa" w:w="794"/>
          </w:tcPr>
          <w:p>
            <w:pPr>
              <w:spacing w:after="20" w:before="20" w:line="240" w:lineRule="auto"/>
              <w:jc w:val="center"/>
            </w:pPr>
            <w:r>
              <w:rPr>
                <w:sz w:val="16"/>
              </w:rPr>
              <w:t>1.59</w:t>
            </w:r>
          </w:p>
        </w:tc>
        <w:tc>
          <w:tcPr>
            <w:tcW w:type="dxa" w:w="1020"/>
          </w:tcPr>
          <w:p>
            <w:pPr>
              <w:spacing w:after="20" w:before="20" w:line="240" w:lineRule="auto"/>
              <w:jc w:val="left"/>
            </w:pPr>
            <w:r>
              <w:rPr>
                <w:sz w:val="16"/>
              </w:rPr>
              <w:t>chem.</w:t>
            </w:r>
          </w:p>
        </w:tc>
      </w:tr>
      <w:tr>
        <w:tc>
          <w:tcPr>
            <w:tcW w:type="dxa" w:w="1701"/>
          </w:tcPr>
          <w:p>
            <w:pPr>
              <w:spacing w:after="20" w:before="20" w:line="240" w:lineRule="auto"/>
              <w:jc w:val="left"/>
            </w:pPr>
            <w:r>
              <w:rPr>
                <w:sz w:val="16"/>
              </w:rPr>
              <w:t>Exatecan</w:t>
            </w:r>
          </w:p>
        </w:tc>
        <w:tc>
          <w:tcPr>
            <w:tcW w:type="dxa" w:w="1020"/>
          </w:tcPr>
          <w:p>
            <w:pPr>
              <w:spacing w:after="20" w:before="20" w:line="240" w:lineRule="auto"/>
              <w:jc w:val="left"/>
            </w:pPr>
            <w:r>
              <w:rPr>
                <w:sz w:val="16"/>
              </w:rPr>
              <w:t>Cyto.</w:t>
            </w:r>
          </w:p>
        </w:tc>
        <w:tc>
          <w:tcPr>
            <w:tcW w:type="dxa" w:w="1020"/>
          </w:tcPr>
          <w:p>
            <w:pPr>
              <w:spacing w:after="20" w:before="20" w:line="240" w:lineRule="auto"/>
              <w:jc w:val="center"/>
            </w:pPr>
            <w:r>
              <w:rPr>
                <w:sz w:val="16"/>
              </w:rPr>
              <w:t>−12.05</w:t>
            </w:r>
          </w:p>
        </w:tc>
        <w:tc>
          <w:tcPr>
            <w:tcW w:type="dxa" w:w="1020"/>
          </w:tcPr>
          <w:p>
            <w:pPr>
              <w:spacing w:after="20" w:before="20" w:line="240" w:lineRule="auto"/>
              <w:jc w:val="center"/>
            </w:pPr>
            <w:r>
              <w:rPr>
                <w:sz w:val="16"/>
              </w:rPr>
              <w:t>−27.7</w:t>
            </w:r>
          </w:p>
        </w:tc>
        <w:tc>
          <w:tcPr>
            <w:tcW w:type="dxa" w:w="907"/>
          </w:tcPr>
          <w:p>
            <w:pPr>
              <w:spacing w:after="20" w:before="20" w:line="240" w:lineRule="auto"/>
              <w:jc w:val="center"/>
            </w:pPr>
            <w:r>
              <w:rPr>
                <w:sz w:val="16"/>
              </w:rPr>
              <w:t>−26.4</w:t>
            </w:r>
          </w:p>
        </w:tc>
        <w:tc>
          <w:tcPr>
            <w:tcW w:type="dxa" w:w="794"/>
          </w:tcPr>
          <w:p>
            <w:pPr>
              <w:spacing w:after="20" w:before="20" w:line="240" w:lineRule="auto"/>
              <w:jc w:val="center"/>
            </w:pPr>
            <w:r>
              <w:rPr>
                <w:sz w:val="16"/>
              </w:rPr>
              <w:t>2.82</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Etoposide</w:t>
            </w:r>
          </w:p>
        </w:tc>
        <w:tc>
          <w:tcPr>
            <w:tcW w:type="dxa" w:w="1020"/>
          </w:tcPr>
          <w:p>
            <w:pPr>
              <w:spacing w:after="20" w:before="20" w:line="240" w:lineRule="auto"/>
              <w:jc w:val="left"/>
            </w:pPr>
            <w:r>
              <w:rPr>
                <w:sz w:val="16"/>
              </w:rPr>
              <w:t>Cyto.</w:t>
            </w:r>
          </w:p>
        </w:tc>
        <w:tc>
          <w:tcPr>
            <w:tcW w:type="dxa" w:w="1020"/>
          </w:tcPr>
          <w:p>
            <w:pPr>
              <w:spacing w:after="20" w:before="20" w:line="240" w:lineRule="auto"/>
              <w:jc w:val="center"/>
            </w:pPr>
            <w:r>
              <w:rPr>
                <w:sz w:val="16"/>
              </w:rPr>
              <w:t>−12.01</w:t>
            </w:r>
          </w:p>
        </w:tc>
        <w:tc>
          <w:tcPr>
            <w:tcW w:type="dxa" w:w="1020"/>
          </w:tcPr>
          <w:p>
            <w:pPr>
              <w:spacing w:after="20" w:before="20" w:line="240" w:lineRule="auto"/>
              <w:jc w:val="center"/>
            </w:pPr>
            <w:r>
              <w:rPr>
                <w:sz w:val="16"/>
              </w:rPr>
              <w:t>−30.1</w:t>
            </w:r>
          </w:p>
        </w:tc>
        <w:tc>
          <w:tcPr>
            <w:tcW w:type="dxa" w:w="907"/>
          </w:tcPr>
          <w:p>
            <w:pPr>
              <w:spacing w:after="20" w:before="20" w:line="240" w:lineRule="auto"/>
              <w:jc w:val="center"/>
            </w:pPr>
            <w:r>
              <w:rPr>
                <w:sz w:val="16"/>
              </w:rPr>
              <w:t>−23.8</w:t>
            </w:r>
          </w:p>
        </w:tc>
        <w:tc>
          <w:tcPr>
            <w:tcW w:type="dxa" w:w="794"/>
          </w:tcPr>
          <w:p>
            <w:pPr>
              <w:spacing w:after="20" w:before="20" w:line="240" w:lineRule="auto"/>
              <w:jc w:val="center"/>
            </w:pPr>
            <w:r>
              <w:rPr>
                <w:sz w:val="16"/>
              </w:rPr>
              <w:t>1.84</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Pamiparib</w:t>
            </w:r>
          </w:p>
        </w:tc>
        <w:tc>
          <w:tcPr>
            <w:tcW w:type="dxa" w:w="1020"/>
          </w:tcPr>
          <w:p>
            <w:pPr>
              <w:spacing w:after="20" w:before="20" w:line="240" w:lineRule="auto"/>
              <w:jc w:val="left"/>
            </w:pPr>
            <w:r>
              <w:rPr>
                <w:sz w:val="16"/>
              </w:rPr>
              <w:t>PARP</w:t>
            </w:r>
          </w:p>
        </w:tc>
        <w:tc>
          <w:tcPr>
            <w:tcW w:type="dxa" w:w="1020"/>
          </w:tcPr>
          <w:p>
            <w:pPr>
              <w:spacing w:after="20" w:before="20" w:line="240" w:lineRule="auto"/>
              <w:jc w:val="center"/>
            </w:pPr>
            <w:r>
              <w:rPr>
                <w:sz w:val="16"/>
              </w:rPr>
              <w:t>−11.91</w:t>
            </w:r>
          </w:p>
        </w:tc>
        <w:tc>
          <w:tcPr>
            <w:tcW w:type="dxa" w:w="1020"/>
          </w:tcPr>
          <w:p>
            <w:pPr>
              <w:spacing w:after="20" w:before="20" w:line="240" w:lineRule="auto"/>
              <w:jc w:val="center"/>
            </w:pPr>
            <w:r>
              <w:rPr>
                <w:sz w:val="16"/>
              </w:rPr>
              <w:t>−22.4</w:t>
            </w:r>
          </w:p>
        </w:tc>
        <w:tc>
          <w:tcPr>
            <w:tcW w:type="dxa" w:w="907"/>
          </w:tcPr>
          <w:p>
            <w:pPr>
              <w:spacing w:after="20" w:before="20" w:line="240" w:lineRule="auto"/>
              <w:jc w:val="center"/>
            </w:pPr>
            <w:r>
              <w:rPr>
                <w:sz w:val="16"/>
              </w:rPr>
              <w:t>−21.8</w:t>
            </w:r>
          </w:p>
        </w:tc>
        <w:tc>
          <w:tcPr>
            <w:tcW w:type="dxa" w:w="794"/>
          </w:tcPr>
          <w:p>
            <w:pPr>
              <w:spacing w:after="20" w:before="20" w:line="240" w:lineRule="auto"/>
              <w:jc w:val="center"/>
            </w:pPr>
            <w:r>
              <w:rPr>
                <w:sz w:val="16"/>
              </w:rPr>
              <w:t>2.76</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Palbociclib</w:t>
            </w:r>
          </w:p>
        </w:tc>
        <w:tc>
          <w:tcPr>
            <w:tcW w:type="dxa" w:w="1020"/>
          </w:tcPr>
          <w:p>
            <w:pPr>
              <w:spacing w:after="20" w:before="20" w:line="240" w:lineRule="auto"/>
              <w:jc w:val="left"/>
            </w:pPr>
            <w:r>
              <w:rPr>
                <w:sz w:val="16"/>
              </w:rPr>
              <w:t>Kinase</w:t>
            </w:r>
          </w:p>
        </w:tc>
        <w:tc>
          <w:tcPr>
            <w:tcW w:type="dxa" w:w="1020"/>
          </w:tcPr>
          <w:p>
            <w:pPr>
              <w:spacing w:after="20" w:before="20" w:line="240" w:lineRule="auto"/>
              <w:jc w:val="center"/>
            </w:pPr>
            <w:r>
              <w:rPr>
                <w:sz w:val="16"/>
              </w:rPr>
              <w:t>−11.17</w:t>
            </w:r>
          </w:p>
        </w:tc>
        <w:tc>
          <w:tcPr>
            <w:tcW w:type="dxa" w:w="1020"/>
          </w:tcPr>
          <w:p>
            <w:pPr>
              <w:spacing w:after="20" w:before="20" w:line="240" w:lineRule="auto"/>
              <w:jc w:val="center"/>
            </w:pPr>
            <w:r>
              <w:rPr>
                <w:sz w:val="16"/>
              </w:rPr>
              <w:t>−56.4</w:t>
            </w:r>
          </w:p>
        </w:tc>
        <w:tc>
          <w:tcPr>
            <w:tcW w:type="dxa" w:w="907"/>
          </w:tcPr>
          <w:p>
            <w:pPr>
              <w:spacing w:after="20" w:before="20" w:line="240" w:lineRule="auto"/>
              <w:jc w:val="center"/>
            </w:pPr>
            <w:r>
              <w:rPr>
                <w:sz w:val="16"/>
              </w:rPr>
              <w:t>−36.5</w:t>
            </w:r>
          </w:p>
        </w:tc>
        <w:tc>
          <w:tcPr>
            <w:tcW w:type="dxa" w:w="794"/>
          </w:tcPr>
          <w:p>
            <w:pPr>
              <w:spacing w:after="20" w:before="20" w:line="240" w:lineRule="auto"/>
              <w:jc w:val="center"/>
            </w:pPr>
            <w:r>
              <w:rPr>
                <w:sz w:val="16"/>
              </w:rPr>
              <w:t>1.60</w:t>
            </w:r>
          </w:p>
        </w:tc>
        <w:tc>
          <w:tcPr>
            <w:tcW w:type="dxa" w:w="1020"/>
          </w:tcPr>
          <w:p>
            <w:pPr>
              <w:spacing w:after="20" w:before="20" w:line="240" w:lineRule="auto"/>
              <w:jc w:val="left"/>
            </w:pPr>
            <w:r>
              <w:rPr>
                <w:sz w:val="16"/>
              </w:rPr>
              <w:t>chem.</w:t>
            </w:r>
          </w:p>
        </w:tc>
      </w:tr>
      <w:tr>
        <w:tc>
          <w:tcPr>
            <w:tcW w:type="dxa" w:w="1701"/>
          </w:tcPr>
          <w:p>
            <w:pPr>
              <w:spacing w:after="20" w:before="20" w:line="240" w:lineRule="auto"/>
              <w:jc w:val="left"/>
            </w:pPr>
            <w:r>
              <w:rPr>
                <w:sz w:val="16"/>
              </w:rPr>
              <w:t>Epirubicin</w:t>
            </w:r>
          </w:p>
        </w:tc>
        <w:tc>
          <w:tcPr>
            <w:tcW w:type="dxa" w:w="1020"/>
          </w:tcPr>
          <w:p>
            <w:pPr>
              <w:spacing w:after="20" w:before="20" w:line="240" w:lineRule="auto"/>
              <w:jc w:val="left"/>
            </w:pPr>
            <w:r>
              <w:rPr>
                <w:sz w:val="16"/>
              </w:rPr>
              <w:t>Cyto.</w:t>
            </w:r>
          </w:p>
        </w:tc>
        <w:tc>
          <w:tcPr>
            <w:tcW w:type="dxa" w:w="1020"/>
          </w:tcPr>
          <w:p>
            <w:pPr>
              <w:spacing w:after="20" w:before="20" w:line="240" w:lineRule="auto"/>
              <w:jc w:val="center"/>
            </w:pPr>
            <w:r>
              <w:rPr>
                <w:sz w:val="16"/>
              </w:rPr>
              <w:t>−11.15</w:t>
            </w:r>
          </w:p>
        </w:tc>
        <w:tc>
          <w:tcPr>
            <w:tcW w:type="dxa" w:w="1020"/>
          </w:tcPr>
          <w:p>
            <w:pPr>
              <w:spacing w:after="20" w:before="20" w:line="240" w:lineRule="auto"/>
              <w:jc w:val="center"/>
            </w:pPr>
            <w:r>
              <w:rPr>
                <w:sz w:val="16"/>
              </w:rPr>
              <w:t>−41.3</w:t>
            </w:r>
          </w:p>
        </w:tc>
        <w:tc>
          <w:tcPr>
            <w:tcW w:type="dxa" w:w="907"/>
          </w:tcPr>
          <w:p>
            <w:pPr>
              <w:spacing w:after="20" w:before="20" w:line="240" w:lineRule="auto"/>
              <w:jc w:val="center"/>
            </w:pPr>
            <w:r>
              <w:rPr>
                <w:sz w:val="16"/>
              </w:rPr>
              <w:t>−36.6</w:t>
            </w:r>
          </w:p>
        </w:tc>
        <w:tc>
          <w:tcPr>
            <w:tcW w:type="dxa" w:w="794"/>
          </w:tcPr>
          <w:p>
            <w:pPr>
              <w:spacing w:after="20" w:before="20" w:line="240" w:lineRule="auto"/>
              <w:jc w:val="center"/>
            </w:pPr>
            <w:r>
              <w:rPr>
                <w:sz w:val="16"/>
              </w:rPr>
              <w:t>2.85</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Lapatinib</w:t>
            </w:r>
          </w:p>
        </w:tc>
        <w:tc>
          <w:tcPr>
            <w:tcW w:type="dxa" w:w="1020"/>
          </w:tcPr>
          <w:p>
            <w:pPr>
              <w:spacing w:after="20" w:before="20" w:line="240" w:lineRule="auto"/>
              <w:jc w:val="left"/>
            </w:pPr>
            <w:r>
              <w:rPr>
                <w:sz w:val="16"/>
              </w:rPr>
              <w:t>Kinase</w:t>
            </w:r>
          </w:p>
        </w:tc>
        <w:tc>
          <w:tcPr>
            <w:tcW w:type="dxa" w:w="1020"/>
          </w:tcPr>
          <w:p>
            <w:pPr>
              <w:spacing w:after="20" w:before="20" w:line="240" w:lineRule="auto"/>
              <w:jc w:val="center"/>
            </w:pPr>
            <w:r>
              <w:rPr>
                <w:sz w:val="16"/>
              </w:rPr>
              <w:t>−11.03</w:t>
            </w:r>
          </w:p>
        </w:tc>
        <w:tc>
          <w:tcPr>
            <w:tcW w:type="dxa" w:w="1020"/>
          </w:tcPr>
          <w:p>
            <w:pPr>
              <w:spacing w:after="20" w:before="20" w:line="240" w:lineRule="auto"/>
              <w:jc w:val="center"/>
            </w:pPr>
            <w:r>
              <w:rPr>
                <w:sz w:val="16"/>
              </w:rPr>
              <w:t>−35.6</w:t>
            </w:r>
          </w:p>
        </w:tc>
        <w:tc>
          <w:tcPr>
            <w:tcW w:type="dxa" w:w="907"/>
          </w:tcPr>
          <w:p>
            <w:pPr>
              <w:spacing w:after="20" w:before="20" w:line="240" w:lineRule="auto"/>
              <w:jc w:val="center"/>
            </w:pPr>
            <w:r>
              <w:rPr>
                <w:sz w:val="16"/>
              </w:rPr>
              <w:t>−31.9</w:t>
            </w:r>
          </w:p>
        </w:tc>
        <w:tc>
          <w:tcPr>
            <w:tcW w:type="dxa" w:w="794"/>
          </w:tcPr>
          <w:p>
            <w:pPr>
              <w:spacing w:after="20" w:before="20" w:line="240" w:lineRule="auto"/>
              <w:jc w:val="center"/>
            </w:pPr>
            <w:r>
              <w:rPr>
                <w:sz w:val="16"/>
              </w:rPr>
              <w:t>2.59</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Niraparib</w:t>
            </w:r>
          </w:p>
        </w:tc>
        <w:tc>
          <w:tcPr>
            <w:tcW w:type="dxa" w:w="1020"/>
          </w:tcPr>
          <w:p>
            <w:pPr>
              <w:spacing w:after="20" w:before="20" w:line="240" w:lineRule="auto"/>
              <w:jc w:val="left"/>
            </w:pPr>
            <w:r>
              <w:rPr>
                <w:sz w:val="16"/>
              </w:rPr>
              <w:t>PARP</w:t>
            </w:r>
          </w:p>
        </w:tc>
        <w:tc>
          <w:tcPr>
            <w:tcW w:type="dxa" w:w="1020"/>
          </w:tcPr>
          <w:p>
            <w:pPr>
              <w:spacing w:after="20" w:before="20" w:line="240" w:lineRule="auto"/>
              <w:jc w:val="center"/>
            </w:pPr>
            <w:r>
              <w:rPr>
                <w:sz w:val="16"/>
              </w:rPr>
              <w:t>−10.92</w:t>
            </w:r>
          </w:p>
        </w:tc>
        <w:tc>
          <w:tcPr>
            <w:tcW w:type="dxa" w:w="1020"/>
          </w:tcPr>
          <w:p>
            <w:pPr>
              <w:spacing w:after="20" w:before="20" w:line="240" w:lineRule="auto"/>
              <w:jc w:val="center"/>
            </w:pPr>
            <w:r>
              <w:rPr>
                <w:sz w:val="16"/>
              </w:rPr>
              <w:t>−42.5</w:t>
            </w:r>
          </w:p>
        </w:tc>
        <w:tc>
          <w:tcPr>
            <w:tcW w:type="dxa" w:w="907"/>
          </w:tcPr>
          <w:p>
            <w:pPr>
              <w:spacing w:after="20" w:before="20" w:line="240" w:lineRule="auto"/>
              <w:jc w:val="center"/>
            </w:pPr>
            <w:r>
              <w:rPr>
                <w:sz w:val="16"/>
              </w:rPr>
              <w:t>−22.5</w:t>
            </w:r>
          </w:p>
        </w:tc>
        <w:tc>
          <w:tcPr>
            <w:tcW w:type="dxa" w:w="794"/>
          </w:tcPr>
          <w:p>
            <w:pPr>
              <w:spacing w:after="20" w:before="20" w:line="240" w:lineRule="auto"/>
              <w:jc w:val="center"/>
            </w:pPr>
            <w:r>
              <w:rPr>
                <w:sz w:val="16"/>
              </w:rPr>
              <w:t>1.74</w:t>
            </w:r>
          </w:p>
        </w:tc>
        <w:tc>
          <w:tcPr>
            <w:tcW w:type="dxa" w:w="1020"/>
          </w:tcPr>
          <w:p>
            <w:pPr>
              <w:spacing w:after="20" w:before="20" w:line="240" w:lineRule="auto"/>
              <w:jc w:val="left"/>
            </w:pPr>
            <w:r>
              <w:rPr>
                <w:sz w:val="16"/>
              </w:rPr>
              <w:t>chem.</w:t>
            </w:r>
          </w:p>
        </w:tc>
      </w:tr>
      <w:tr>
        <w:tc>
          <w:tcPr>
            <w:tcW w:type="dxa" w:w="1701"/>
          </w:tcPr>
          <w:p>
            <w:pPr>
              <w:spacing w:after="20" w:before="20" w:line="240" w:lineRule="auto"/>
              <w:jc w:val="left"/>
            </w:pPr>
            <w:r>
              <w:rPr>
                <w:sz w:val="16"/>
              </w:rPr>
              <w:t>Doxorubicin</w:t>
            </w:r>
            <w:r>
              <w:rPr>
                <w:sz w:val="16"/>
                <w:vertAlign w:val="superscript"/>
              </w:rPr>
              <w:t>a</w:t>
            </w:r>
          </w:p>
        </w:tc>
        <w:tc>
          <w:tcPr>
            <w:tcW w:type="dxa" w:w="1020"/>
          </w:tcPr>
          <w:p>
            <w:pPr>
              <w:spacing w:after="20" w:before="20" w:line="240" w:lineRule="auto"/>
              <w:jc w:val="left"/>
            </w:pPr>
            <w:r>
              <w:rPr>
                <w:sz w:val="16"/>
              </w:rPr>
              <w:t>Cyto.</w:t>
            </w:r>
          </w:p>
        </w:tc>
        <w:tc>
          <w:tcPr>
            <w:tcW w:type="dxa" w:w="1020"/>
          </w:tcPr>
          <w:p>
            <w:pPr>
              <w:spacing w:after="20" w:before="20" w:line="240" w:lineRule="auto"/>
              <w:jc w:val="center"/>
            </w:pPr>
            <w:r>
              <w:rPr>
                <w:sz w:val="16"/>
              </w:rPr>
              <w:t>−10.82</w:t>
            </w:r>
          </w:p>
        </w:tc>
        <w:tc>
          <w:tcPr>
            <w:tcW w:type="dxa" w:w="1020"/>
          </w:tcPr>
          <w:p>
            <w:pPr>
              <w:spacing w:after="20" w:before="20" w:line="240" w:lineRule="auto"/>
              <w:jc w:val="center"/>
            </w:pPr>
            <w:r>
              <w:rPr>
                <w:sz w:val="16"/>
              </w:rPr>
              <w:t>−176.1</w:t>
            </w:r>
          </w:p>
        </w:tc>
        <w:tc>
          <w:tcPr>
            <w:tcW w:type="dxa" w:w="907"/>
          </w:tcPr>
          <w:p>
            <w:pPr>
              <w:spacing w:after="20" w:before="20" w:line="240" w:lineRule="auto"/>
              <w:jc w:val="center"/>
            </w:pPr>
            <w:r>
              <w:rPr>
                <w:sz w:val="16"/>
              </w:rPr>
              <w:t>−59.6</w:t>
            </w:r>
          </w:p>
        </w:tc>
        <w:tc>
          <w:tcPr>
            <w:tcW w:type="dxa" w:w="794"/>
          </w:tcPr>
          <w:p>
            <w:pPr>
              <w:spacing w:after="20" w:before="20" w:line="240" w:lineRule="auto"/>
              <w:jc w:val="center"/>
            </w:pPr>
            <w:r>
              <w:rPr>
                <w:sz w:val="16"/>
              </w:rPr>
              <w:t>1.43</w:t>
            </w:r>
          </w:p>
        </w:tc>
        <w:tc>
          <w:tcPr>
            <w:tcW w:type="dxa" w:w="1020"/>
          </w:tcPr>
          <w:p>
            <w:pPr>
              <w:spacing w:after="20" w:before="20" w:line="240" w:lineRule="auto"/>
              <w:jc w:val="left"/>
            </w:pPr>
            <w:r>
              <w:rPr>
                <w:sz w:val="16"/>
              </w:rPr>
              <w:t>chem.</w:t>
            </w:r>
          </w:p>
        </w:tc>
      </w:tr>
      <w:tr>
        <w:tc>
          <w:tcPr>
            <w:tcW w:type="dxa" w:w="1701"/>
          </w:tcPr>
          <w:p>
            <w:pPr>
              <w:spacing w:after="20" w:before="20" w:line="240" w:lineRule="auto"/>
              <w:jc w:val="left"/>
            </w:pPr>
            <w:r>
              <w:rPr>
                <w:sz w:val="16"/>
              </w:rPr>
              <w:t>Trametinib</w:t>
            </w:r>
          </w:p>
        </w:tc>
        <w:tc>
          <w:tcPr>
            <w:tcW w:type="dxa" w:w="1020"/>
          </w:tcPr>
          <w:p>
            <w:pPr>
              <w:spacing w:after="20" w:before="20" w:line="240" w:lineRule="auto"/>
              <w:jc w:val="left"/>
            </w:pPr>
            <w:r>
              <w:rPr>
                <w:sz w:val="16"/>
              </w:rPr>
              <w:t>Kinase</w:t>
            </w:r>
          </w:p>
        </w:tc>
        <w:tc>
          <w:tcPr>
            <w:tcW w:type="dxa" w:w="1020"/>
          </w:tcPr>
          <w:p>
            <w:pPr>
              <w:spacing w:after="20" w:before="20" w:line="240" w:lineRule="auto"/>
              <w:jc w:val="center"/>
            </w:pPr>
            <w:r>
              <w:rPr>
                <w:sz w:val="16"/>
              </w:rPr>
              <w:t>−10.55</w:t>
            </w:r>
          </w:p>
        </w:tc>
        <w:tc>
          <w:tcPr>
            <w:tcW w:type="dxa" w:w="1020"/>
          </w:tcPr>
          <w:p>
            <w:pPr>
              <w:spacing w:after="20" w:before="20" w:line="240" w:lineRule="auto"/>
              <w:jc w:val="center"/>
            </w:pPr>
            <w:r>
              <w:rPr>
                <w:sz w:val="16"/>
              </w:rPr>
              <w:t>−31.9</w:t>
            </w:r>
          </w:p>
        </w:tc>
        <w:tc>
          <w:tcPr>
            <w:tcW w:type="dxa" w:w="907"/>
          </w:tcPr>
          <w:p>
            <w:pPr>
              <w:spacing w:after="20" w:before="20" w:line="240" w:lineRule="auto"/>
              <w:jc w:val="center"/>
            </w:pPr>
            <w:r>
              <w:rPr>
                <w:sz w:val="16"/>
              </w:rPr>
              <w:t>−29.7</w:t>
            </w:r>
          </w:p>
        </w:tc>
        <w:tc>
          <w:tcPr>
            <w:tcW w:type="dxa" w:w="794"/>
          </w:tcPr>
          <w:p>
            <w:pPr>
              <w:spacing w:after="20" w:before="20" w:line="240" w:lineRule="auto"/>
              <w:jc w:val="center"/>
            </w:pPr>
            <w:r>
              <w:rPr>
                <w:sz w:val="16"/>
              </w:rPr>
              <w:t>2.33</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Topotecan</w:t>
            </w:r>
          </w:p>
        </w:tc>
        <w:tc>
          <w:tcPr>
            <w:tcW w:type="dxa" w:w="1020"/>
          </w:tcPr>
          <w:p>
            <w:pPr>
              <w:spacing w:after="20" w:before="20" w:line="240" w:lineRule="auto"/>
              <w:jc w:val="left"/>
            </w:pPr>
            <w:r>
              <w:rPr>
                <w:sz w:val="16"/>
              </w:rPr>
              <w:t>Cyto.</w:t>
            </w:r>
          </w:p>
        </w:tc>
        <w:tc>
          <w:tcPr>
            <w:tcW w:type="dxa" w:w="1020"/>
          </w:tcPr>
          <w:p>
            <w:pPr>
              <w:spacing w:after="20" w:before="20" w:line="240" w:lineRule="auto"/>
              <w:jc w:val="center"/>
            </w:pPr>
            <w:r>
              <w:rPr>
                <w:sz w:val="16"/>
              </w:rPr>
              <w:t>−10.50</w:t>
            </w:r>
          </w:p>
        </w:tc>
        <w:tc>
          <w:tcPr>
            <w:tcW w:type="dxa" w:w="1020"/>
          </w:tcPr>
          <w:p>
            <w:pPr>
              <w:spacing w:after="20" w:before="20" w:line="240" w:lineRule="auto"/>
              <w:jc w:val="center"/>
            </w:pPr>
            <w:r>
              <w:rPr>
                <w:sz w:val="16"/>
              </w:rPr>
              <w:t>−43.0</w:t>
            </w:r>
          </w:p>
        </w:tc>
        <w:tc>
          <w:tcPr>
            <w:tcW w:type="dxa" w:w="907"/>
          </w:tcPr>
          <w:p>
            <w:pPr>
              <w:spacing w:after="20" w:before="20" w:line="240" w:lineRule="auto"/>
              <w:jc w:val="center"/>
            </w:pPr>
            <w:r>
              <w:rPr>
                <w:sz w:val="16"/>
              </w:rPr>
              <w:t>−25.1</w:t>
            </w:r>
          </w:p>
        </w:tc>
        <w:tc>
          <w:tcPr>
            <w:tcW w:type="dxa" w:w="794"/>
          </w:tcPr>
          <w:p>
            <w:pPr>
              <w:spacing w:after="20" w:before="20" w:line="240" w:lineRule="auto"/>
              <w:jc w:val="center"/>
            </w:pPr>
            <w:r>
              <w:rPr>
                <w:sz w:val="16"/>
              </w:rPr>
              <w:t>1.58</w:t>
            </w:r>
          </w:p>
        </w:tc>
        <w:tc>
          <w:tcPr>
            <w:tcW w:type="dxa" w:w="1020"/>
          </w:tcPr>
          <w:p>
            <w:pPr>
              <w:spacing w:after="20" w:before="20" w:line="240" w:lineRule="auto"/>
              <w:jc w:val="left"/>
            </w:pPr>
            <w:r>
              <w:rPr>
                <w:sz w:val="16"/>
              </w:rPr>
              <w:t>chem.</w:t>
            </w:r>
          </w:p>
        </w:tc>
      </w:tr>
      <w:tr>
        <w:tc>
          <w:tcPr>
            <w:tcW w:type="dxa" w:w="1701"/>
          </w:tcPr>
          <w:p>
            <w:pPr>
              <w:spacing w:after="20" w:before="20" w:line="240" w:lineRule="auto"/>
              <w:jc w:val="left"/>
            </w:pPr>
            <w:r>
              <w:rPr>
                <w:sz w:val="16"/>
              </w:rPr>
              <w:t>SN-38</w:t>
            </w:r>
          </w:p>
        </w:tc>
        <w:tc>
          <w:tcPr>
            <w:tcW w:type="dxa" w:w="1020"/>
          </w:tcPr>
          <w:p>
            <w:pPr>
              <w:spacing w:after="20" w:before="20" w:line="240" w:lineRule="auto"/>
              <w:jc w:val="left"/>
            </w:pPr>
            <w:r>
              <w:rPr>
                <w:sz w:val="16"/>
              </w:rPr>
              <w:t>Cyto.</w:t>
            </w:r>
          </w:p>
        </w:tc>
        <w:tc>
          <w:tcPr>
            <w:tcW w:type="dxa" w:w="1020"/>
          </w:tcPr>
          <w:p>
            <w:pPr>
              <w:spacing w:after="20" w:before="20" w:line="240" w:lineRule="auto"/>
              <w:jc w:val="center"/>
            </w:pPr>
            <w:r>
              <w:rPr>
                <w:sz w:val="16"/>
              </w:rPr>
              <w:t>−10.47</w:t>
            </w:r>
          </w:p>
        </w:tc>
        <w:tc>
          <w:tcPr>
            <w:tcW w:type="dxa" w:w="1020"/>
          </w:tcPr>
          <w:p>
            <w:pPr>
              <w:spacing w:after="20" w:before="20" w:line="240" w:lineRule="auto"/>
              <w:jc w:val="center"/>
            </w:pPr>
            <w:r>
              <w:rPr>
                <w:sz w:val="16"/>
              </w:rPr>
              <w:t>−23.9</w:t>
            </w:r>
          </w:p>
        </w:tc>
        <w:tc>
          <w:tcPr>
            <w:tcW w:type="dxa" w:w="907"/>
          </w:tcPr>
          <w:p>
            <w:pPr>
              <w:spacing w:after="20" w:before="20" w:line="240" w:lineRule="auto"/>
              <w:jc w:val="center"/>
            </w:pPr>
            <w:r>
              <w:rPr>
                <w:sz w:val="16"/>
              </w:rPr>
              <w:t>−15.8</w:t>
            </w:r>
          </w:p>
        </w:tc>
        <w:tc>
          <w:tcPr>
            <w:tcW w:type="dxa" w:w="794"/>
          </w:tcPr>
          <w:p>
            <w:pPr>
              <w:spacing w:after="20" w:before="20" w:line="240" w:lineRule="auto"/>
              <w:jc w:val="center"/>
            </w:pPr>
            <w:r>
              <w:rPr>
                <w:sz w:val="16"/>
              </w:rPr>
              <w:t>1.76</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Capivasertib</w:t>
            </w:r>
          </w:p>
        </w:tc>
        <w:tc>
          <w:tcPr>
            <w:tcW w:type="dxa" w:w="1020"/>
          </w:tcPr>
          <w:p>
            <w:pPr>
              <w:spacing w:after="20" w:before="20" w:line="240" w:lineRule="auto"/>
              <w:jc w:val="left"/>
            </w:pPr>
            <w:r>
              <w:rPr>
                <w:sz w:val="16"/>
              </w:rPr>
              <w:t>Kinase</w:t>
            </w:r>
          </w:p>
        </w:tc>
        <w:tc>
          <w:tcPr>
            <w:tcW w:type="dxa" w:w="1020"/>
          </w:tcPr>
          <w:p>
            <w:pPr>
              <w:spacing w:after="20" w:before="20" w:line="240" w:lineRule="auto"/>
              <w:jc w:val="center"/>
            </w:pPr>
            <w:r>
              <w:rPr>
                <w:sz w:val="16"/>
              </w:rPr>
              <w:t>−10.35</w:t>
            </w:r>
          </w:p>
        </w:tc>
        <w:tc>
          <w:tcPr>
            <w:tcW w:type="dxa" w:w="1020"/>
          </w:tcPr>
          <w:p>
            <w:pPr>
              <w:spacing w:after="20" w:before="20" w:line="240" w:lineRule="auto"/>
              <w:jc w:val="center"/>
            </w:pPr>
            <w:r>
              <w:rPr>
                <w:sz w:val="16"/>
              </w:rPr>
              <w:t>−45.2</w:t>
            </w:r>
          </w:p>
        </w:tc>
        <w:tc>
          <w:tcPr>
            <w:tcW w:type="dxa" w:w="907"/>
          </w:tcPr>
          <w:p>
            <w:pPr>
              <w:spacing w:after="20" w:before="20" w:line="240" w:lineRule="auto"/>
              <w:jc w:val="center"/>
            </w:pPr>
            <w:r>
              <w:rPr>
                <w:sz w:val="16"/>
              </w:rPr>
              <w:t>−24.4</w:t>
            </w:r>
          </w:p>
        </w:tc>
        <w:tc>
          <w:tcPr>
            <w:tcW w:type="dxa" w:w="794"/>
          </w:tcPr>
          <w:p>
            <w:pPr>
              <w:spacing w:after="20" w:before="20" w:line="240" w:lineRule="auto"/>
              <w:jc w:val="center"/>
            </w:pPr>
            <w:r>
              <w:rPr>
                <w:sz w:val="16"/>
              </w:rPr>
              <w:t>1.57</w:t>
            </w:r>
          </w:p>
        </w:tc>
        <w:tc>
          <w:tcPr>
            <w:tcW w:type="dxa" w:w="1020"/>
          </w:tcPr>
          <w:p>
            <w:pPr>
              <w:spacing w:after="20" w:before="20" w:line="240" w:lineRule="auto"/>
              <w:jc w:val="left"/>
            </w:pPr>
            <w:r>
              <w:rPr>
                <w:sz w:val="16"/>
              </w:rPr>
              <w:t>chem.</w:t>
            </w:r>
          </w:p>
        </w:tc>
      </w:tr>
      <w:tr>
        <w:tc>
          <w:tcPr>
            <w:tcW w:type="dxa" w:w="1701"/>
          </w:tcPr>
          <w:p>
            <w:pPr>
              <w:spacing w:after="20" w:before="20" w:line="240" w:lineRule="auto"/>
              <w:jc w:val="left"/>
            </w:pPr>
            <w:r>
              <w:rPr>
                <w:sz w:val="16"/>
              </w:rPr>
              <w:t>Ipatasertib</w:t>
            </w:r>
          </w:p>
        </w:tc>
        <w:tc>
          <w:tcPr>
            <w:tcW w:type="dxa" w:w="1020"/>
          </w:tcPr>
          <w:p>
            <w:pPr>
              <w:spacing w:after="20" w:before="20" w:line="240" w:lineRule="auto"/>
              <w:jc w:val="left"/>
            </w:pPr>
            <w:r>
              <w:rPr>
                <w:sz w:val="16"/>
              </w:rPr>
              <w:t>Kinase</w:t>
            </w:r>
          </w:p>
        </w:tc>
        <w:tc>
          <w:tcPr>
            <w:tcW w:type="dxa" w:w="1020"/>
          </w:tcPr>
          <w:p>
            <w:pPr>
              <w:spacing w:after="20" w:before="20" w:line="240" w:lineRule="auto"/>
              <w:jc w:val="center"/>
            </w:pPr>
            <w:r>
              <w:rPr>
                <w:sz w:val="16"/>
              </w:rPr>
              <w:t>−10.29</w:t>
            </w:r>
          </w:p>
        </w:tc>
        <w:tc>
          <w:tcPr>
            <w:tcW w:type="dxa" w:w="1020"/>
          </w:tcPr>
          <w:p>
            <w:pPr>
              <w:spacing w:after="20" w:before="20" w:line="240" w:lineRule="auto"/>
              <w:jc w:val="center"/>
            </w:pPr>
            <w:r>
              <w:rPr>
                <w:sz w:val="16"/>
              </w:rPr>
              <w:t>−25.0</w:t>
            </w:r>
          </w:p>
        </w:tc>
        <w:tc>
          <w:tcPr>
            <w:tcW w:type="dxa" w:w="907"/>
          </w:tcPr>
          <w:p>
            <w:pPr>
              <w:spacing w:after="20" w:before="20" w:line="240" w:lineRule="auto"/>
              <w:jc w:val="center"/>
            </w:pPr>
            <w:r>
              <w:rPr>
                <w:sz w:val="16"/>
              </w:rPr>
              <w:t>−21.8</w:t>
            </w:r>
          </w:p>
        </w:tc>
        <w:tc>
          <w:tcPr>
            <w:tcW w:type="dxa" w:w="794"/>
          </w:tcPr>
          <w:p>
            <w:pPr>
              <w:spacing w:after="20" w:before="20" w:line="240" w:lineRule="auto"/>
              <w:jc w:val="center"/>
            </w:pPr>
            <w:r>
              <w:rPr>
                <w:sz w:val="16"/>
              </w:rPr>
              <w:t>3.07</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Osimertinib</w:t>
            </w:r>
          </w:p>
        </w:tc>
        <w:tc>
          <w:tcPr>
            <w:tcW w:type="dxa" w:w="1020"/>
          </w:tcPr>
          <w:p>
            <w:pPr>
              <w:spacing w:after="20" w:before="20" w:line="240" w:lineRule="auto"/>
              <w:jc w:val="left"/>
            </w:pPr>
            <w:r>
              <w:rPr>
                <w:sz w:val="16"/>
              </w:rPr>
              <w:t>Kinase</w:t>
            </w:r>
          </w:p>
        </w:tc>
        <w:tc>
          <w:tcPr>
            <w:tcW w:type="dxa" w:w="1020"/>
          </w:tcPr>
          <w:p>
            <w:pPr>
              <w:spacing w:after="20" w:before="20" w:line="240" w:lineRule="auto"/>
              <w:jc w:val="center"/>
            </w:pPr>
            <w:r>
              <w:rPr>
                <w:sz w:val="16"/>
              </w:rPr>
              <w:t>−10.26</w:t>
            </w:r>
          </w:p>
        </w:tc>
        <w:tc>
          <w:tcPr>
            <w:tcW w:type="dxa" w:w="1020"/>
          </w:tcPr>
          <w:p>
            <w:pPr>
              <w:spacing w:after="20" w:before="20" w:line="240" w:lineRule="auto"/>
              <w:jc w:val="center"/>
            </w:pPr>
            <w:r>
              <w:rPr>
                <w:sz w:val="16"/>
              </w:rPr>
              <w:t>−26.2</w:t>
            </w:r>
          </w:p>
        </w:tc>
        <w:tc>
          <w:tcPr>
            <w:tcW w:type="dxa" w:w="907"/>
          </w:tcPr>
          <w:p>
            <w:pPr>
              <w:spacing w:after="20" w:before="20" w:line="240" w:lineRule="auto"/>
              <w:jc w:val="center"/>
            </w:pPr>
            <w:r>
              <w:rPr>
                <w:sz w:val="16"/>
              </w:rPr>
              <w:t>−15.8</w:t>
            </w:r>
          </w:p>
        </w:tc>
        <w:tc>
          <w:tcPr>
            <w:tcW w:type="dxa" w:w="794"/>
          </w:tcPr>
          <w:p>
            <w:pPr>
              <w:spacing w:after="20" w:before="20" w:line="240" w:lineRule="auto"/>
              <w:jc w:val="center"/>
            </w:pPr>
            <w:r>
              <w:rPr>
                <w:sz w:val="16"/>
              </w:rPr>
              <w:t>1.72</w:t>
            </w:r>
          </w:p>
        </w:tc>
        <w:tc>
          <w:tcPr>
            <w:tcW w:type="dxa" w:w="1020"/>
          </w:tcPr>
          <w:p>
            <w:pPr>
              <w:spacing w:after="20" w:before="20" w:line="240" w:lineRule="auto"/>
              <w:jc w:val="left"/>
            </w:pPr>
            <w:r>
              <w:rPr>
                <w:sz w:val="16"/>
              </w:rPr>
              <w:t>chem.</w:t>
            </w:r>
          </w:p>
        </w:tc>
      </w:tr>
      <w:tr>
        <w:tc>
          <w:tcPr>
            <w:tcW w:type="dxa" w:w="1701"/>
          </w:tcPr>
          <w:p>
            <w:pPr>
              <w:spacing w:after="20" w:before="20" w:line="240" w:lineRule="auto"/>
              <w:jc w:val="left"/>
            </w:pPr>
            <w:r>
              <w:rPr>
                <w:sz w:val="16"/>
              </w:rPr>
              <w:t>Cobimetinib</w:t>
            </w:r>
          </w:p>
        </w:tc>
        <w:tc>
          <w:tcPr>
            <w:tcW w:type="dxa" w:w="1020"/>
          </w:tcPr>
          <w:p>
            <w:pPr>
              <w:spacing w:after="20" w:before="20" w:line="240" w:lineRule="auto"/>
              <w:jc w:val="left"/>
            </w:pPr>
            <w:r>
              <w:rPr>
                <w:sz w:val="16"/>
              </w:rPr>
              <w:t>Kinase</w:t>
            </w:r>
          </w:p>
        </w:tc>
        <w:tc>
          <w:tcPr>
            <w:tcW w:type="dxa" w:w="1020"/>
          </w:tcPr>
          <w:p>
            <w:pPr>
              <w:spacing w:after="20" w:before="20" w:line="240" w:lineRule="auto"/>
              <w:jc w:val="center"/>
            </w:pPr>
            <w:r>
              <w:rPr>
                <w:sz w:val="16"/>
              </w:rPr>
              <w:t>−10.22</w:t>
            </w:r>
          </w:p>
        </w:tc>
        <w:tc>
          <w:tcPr>
            <w:tcW w:type="dxa" w:w="1020"/>
          </w:tcPr>
          <w:p>
            <w:pPr>
              <w:spacing w:after="20" w:before="20" w:line="240" w:lineRule="auto"/>
              <w:jc w:val="center"/>
            </w:pPr>
            <w:r>
              <w:rPr>
                <w:sz w:val="16"/>
              </w:rPr>
              <w:t>−39.3</w:t>
            </w:r>
          </w:p>
        </w:tc>
        <w:tc>
          <w:tcPr>
            <w:tcW w:type="dxa" w:w="907"/>
          </w:tcPr>
          <w:p>
            <w:pPr>
              <w:spacing w:after="20" w:before="20" w:line="240" w:lineRule="auto"/>
              <w:jc w:val="center"/>
            </w:pPr>
            <w:r>
              <w:rPr>
                <w:sz w:val="16"/>
              </w:rPr>
              <w:t>−33.1</w:t>
            </w:r>
          </w:p>
        </w:tc>
        <w:tc>
          <w:tcPr>
            <w:tcW w:type="dxa" w:w="794"/>
          </w:tcPr>
          <w:p>
            <w:pPr>
              <w:spacing w:after="20" w:before="20" w:line="240" w:lineRule="auto"/>
              <w:jc w:val="center"/>
            </w:pPr>
            <w:r>
              <w:rPr>
                <w:sz w:val="16"/>
              </w:rPr>
              <w:t>2.82</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Ribociclib</w:t>
            </w:r>
          </w:p>
        </w:tc>
        <w:tc>
          <w:tcPr>
            <w:tcW w:type="dxa" w:w="1020"/>
          </w:tcPr>
          <w:p>
            <w:pPr>
              <w:spacing w:after="20" w:before="20" w:line="240" w:lineRule="auto"/>
              <w:jc w:val="left"/>
            </w:pPr>
            <w:r>
              <w:rPr>
                <w:sz w:val="16"/>
              </w:rPr>
              <w:t>Kinase</w:t>
            </w:r>
          </w:p>
        </w:tc>
        <w:tc>
          <w:tcPr>
            <w:tcW w:type="dxa" w:w="1020"/>
          </w:tcPr>
          <w:p>
            <w:pPr>
              <w:spacing w:after="20" w:before="20" w:line="240" w:lineRule="auto"/>
              <w:jc w:val="center"/>
            </w:pPr>
            <w:r>
              <w:rPr>
                <w:sz w:val="16"/>
              </w:rPr>
              <w:t>−9.96</w:t>
            </w:r>
          </w:p>
        </w:tc>
        <w:tc>
          <w:tcPr>
            <w:tcW w:type="dxa" w:w="1020"/>
          </w:tcPr>
          <w:p>
            <w:pPr>
              <w:spacing w:after="20" w:before="20" w:line="240" w:lineRule="auto"/>
              <w:jc w:val="center"/>
            </w:pPr>
            <w:r>
              <w:rPr>
                <w:sz w:val="16"/>
              </w:rPr>
              <w:t>−15.7</w:t>
            </w:r>
          </w:p>
        </w:tc>
        <w:tc>
          <w:tcPr>
            <w:tcW w:type="dxa" w:w="907"/>
          </w:tcPr>
          <w:p>
            <w:pPr>
              <w:spacing w:after="20" w:before="20" w:line="240" w:lineRule="auto"/>
              <w:jc w:val="center"/>
            </w:pPr>
            <w:r>
              <w:rPr>
                <w:sz w:val="16"/>
              </w:rPr>
              <w:t>−15.2</w:t>
            </w:r>
          </w:p>
        </w:tc>
        <w:tc>
          <w:tcPr>
            <w:tcW w:type="dxa" w:w="794"/>
          </w:tcPr>
          <w:p>
            <w:pPr>
              <w:spacing w:after="20" w:before="20" w:line="240" w:lineRule="auto"/>
              <w:jc w:val="center"/>
            </w:pPr>
            <w:r>
              <w:rPr>
                <w:sz w:val="16"/>
              </w:rPr>
              <w:t>2.90</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Paclitaxel</w:t>
            </w:r>
          </w:p>
        </w:tc>
        <w:tc>
          <w:tcPr>
            <w:tcW w:type="dxa" w:w="1020"/>
          </w:tcPr>
          <w:p>
            <w:pPr>
              <w:spacing w:after="20" w:before="20" w:line="240" w:lineRule="auto"/>
              <w:jc w:val="left"/>
            </w:pPr>
            <w:r>
              <w:rPr>
                <w:sz w:val="16"/>
              </w:rPr>
              <w:t>Cyto.</w:t>
            </w:r>
          </w:p>
        </w:tc>
        <w:tc>
          <w:tcPr>
            <w:tcW w:type="dxa" w:w="1020"/>
          </w:tcPr>
          <w:p>
            <w:pPr>
              <w:spacing w:after="20" w:before="20" w:line="240" w:lineRule="auto"/>
              <w:jc w:val="center"/>
            </w:pPr>
            <w:r>
              <w:rPr>
                <w:sz w:val="16"/>
              </w:rPr>
              <w:t>−9.59</w:t>
            </w:r>
          </w:p>
        </w:tc>
        <w:tc>
          <w:tcPr>
            <w:tcW w:type="dxa" w:w="1020"/>
          </w:tcPr>
          <w:p>
            <w:pPr>
              <w:spacing w:after="20" w:before="20" w:line="240" w:lineRule="auto"/>
              <w:jc w:val="center"/>
            </w:pPr>
            <w:r>
              <w:rPr>
                <w:sz w:val="16"/>
              </w:rPr>
              <w:t>−44.1</w:t>
            </w:r>
          </w:p>
        </w:tc>
        <w:tc>
          <w:tcPr>
            <w:tcW w:type="dxa" w:w="907"/>
          </w:tcPr>
          <w:p>
            <w:pPr>
              <w:spacing w:after="20" w:before="20" w:line="240" w:lineRule="auto"/>
              <w:jc w:val="center"/>
            </w:pPr>
            <w:r>
              <w:rPr>
                <w:sz w:val="16"/>
              </w:rPr>
              <w:t>−27.6</w:t>
            </w:r>
          </w:p>
        </w:tc>
        <w:tc>
          <w:tcPr>
            <w:tcW w:type="dxa" w:w="794"/>
          </w:tcPr>
          <w:p>
            <w:pPr>
              <w:spacing w:after="20" w:before="20" w:line="240" w:lineRule="auto"/>
              <w:jc w:val="center"/>
            </w:pPr>
            <w:r>
              <w:rPr>
                <w:sz w:val="16"/>
              </w:rPr>
              <w:t>1.61</w:t>
            </w:r>
          </w:p>
        </w:tc>
        <w:tc>
          <w:tcPr>
            <w:tcW w:type="dxa" w:w="1020"/>
          </w:tcPr>
          <w:p>
            <w:pPr>
              <w:spacing w:after="20" w:before="20" w:line="240" w:lineRule="auto"/>
              <w:jc w:val="left"/>
            </w:pPr>
            <w:r>
              <w:rPr>
                <w:sz w:val="16"/>
              </w:rPr>
              <w:t>chem.</w:t>
            </w:r>
          </w:p>
        </w:tc>
      </w:tr>
      <w:tr>
        <w:tc>
          <w:tcPr>
            <w:tcW w:type="dxa" w:w="1701"/>
          </w:tcPr>
          <w:p>
            <w:pPr>
              <w:spacing w:after="20" w:before="20" w:line="240" w:lineRule="auto"/>
              <w:jc w:val="left"/>
            </w:pPr>
            <w:r>
              <w:rPr>
                <w:sz w:val="16"/>
              </w:rPr>
              <w:t>Rucaparib</w:t>
            </w:r>
          </w:p>
        </w:tc>
        <w:tc>
          <w:tcPr>
            <w:tcW w:type="dxa" w:w="1020"/>
          </w:tcPr>
          <w:p>
            <w:pPr>
              <w:spacing w:after="20" w:before="20" w:line="240" w:lineRule="auto"/>
              <w:jc w:val="left"/>
            </w:pPr>
            <w:r>
              <w:rPr>
                <w:sz w:val="16"/>
              </w:rPr>
              <w:t>PARP</w:t>
            </w:r>
          </w:p>
        </w:tc>
        <w:tc>
          <w:tcPr>
            <w:tcW w:type="dxa" w:w="1020"/>
          </w:tcPr>
          <w:p>
            <w:pPr>
              <w:spacing w:after="20" w:before="20" w:line="240" w:lineRule="auto"/>
              <w:jc w:val="center"/>
            </w:pPr>
            <w:r>
              <w:rPr>
                <w:sz w:val="16"/>
              </w:rPr>
              <w:t>−9.57</w:t>
            </w:r>
          </w:p>
        </w:tc>
        <w:tc>
          <w:tcPr>
            <w:tcW w:type="dxa" w:w="1020"/>
          </w:tcPr>
          <w:p>
            <w:pPr>
              <w:spacing w:after="20" w:before="20" w:line="240" w:lineRule="auto"/>
              <w:jc w:val="center"/>
            </w:pPr>
            <w:r>
              <w:rPr>
                <w:sz w:val="16"/>
              </w:rPr>
              <w:t>−16.7</w:t>
            </w:r>
          </w:p>
        </w:tc>
        <w:tc>
          <w:tcPr>
            <w:tcW w:type="dxa" w:w="907"/>
          </w:tcPr>
          <w:p>
            <w:pPr>
              <w:spacing w:after="20" w:before="20" w:line="240" w:lineRule="auto"/>
              <w:jc w:val="center"/>
            </w:pPr>
            <w:r>
              <w:rPr>
                <w:sz w:val="16"/>
              </w:rPr>
              <w:t>−15.6</w:t>
            </w:r>
          </w:p>
        </w:tc>
        <w:tc>
          <w:tcPr>
            <w:tcW w:type="dxa" w:w="794"/>
          </w:tcPr>
          <w:p>
            <w:pPr>
              <w:spacing w:after="20" w:before="20" w:line="240" w:lineRule="auto"/>
              <w:jc w:val="center"/>
            </w:pPr>
            <w:r>
              <w:rPr>
                <w:sz w:val="16"/>
              </w:rPr>
              <w:t>2.67</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Abemaciclib</w:t>
            </w:r>
          </w:p>
        </w:tc>
        <w:tc>
          <w:tcPr>
            <w:tcW w:type="dxa" w:w="1020"/>
          </w:tcPr>
          <w:p>
            <w:pPr>
              <w:spacing w:after="20" w:before="20" w:line="240" w:lineRule="auto"/>
              <w:jc w:val="left"/>
            </w:pPr>
            <w:r>
              <w:rPr>
                <w:sz w:val="16"/>
              </w:rPr>
              <w:t>Kinase</w:t>
            </w:r>
          </w:p>
        </w:tc>
        <w:tc>
          <w:tcPr>
            <w:tcW w:type="dxa" w:w="1020"/>
          </w:tcPr>
          <w:p>
            <w:pPr>
              <w:spacing w:after="20" w:before="20" w:line="240" w:lineRule="auto"/>
              <w:jc w:val="center"/>
            </w:pPr>
            <w:r>
              <w:rPr>
                <w:sz w:val="16"/>
              </w:rPr>
              <w:t>−9.48</w:t>
            </w:r>
          </w:p>
        </w:tc>
        <w:tc>
          <w:tcPr>
            <w:tcW w:type="dxa" w:w="1020"/>
          </w:tcPr>
          <w:p>
            <w:pPr>
              <w:spacing w:after="20" w:before="20" w:line="240" w:lineRule="auto"/>
              <w:jc w:val="center"/>
            </w:pPr>
            <w:r>
              <w:rPr>
                <w:sz w:val="16"/>
              </w:rPr>
              <w:t>−46.6</w:t>
            </w:r>
          </w:p>
        </w:tc>
        <w:tc>
          <w:tcPr>
            <w:tcW w:type="dxa" w:w="907"/>
          </w:tcPr>
          <w:p>
            <w:pPr>
              <w:spacing w:after="20" w:before="20" w:line="240" w:lineRule="auto"/>
              <w:jc w:val="center"/>
            </w:pPr>
            <w:r>
              <w:rPr>
                <w:sz w:val="16"/>
              </w:rPr>
              <w:t>−29.5</w:t>
            </w:r>
          </w:p>
        </w:tc>
        <w:tc>
          <w:tcPr>
            <w:tcW w:type="dxa" w:w="794"/>
          </w:tcPr>
          <w:p>
            <w:pPr>
              <w:spacing w:after="20" w:before="20" w:line="240" w:lineRule="auto"/>
              <w:jc w:val="center"/>
            </w:pPr>
            <w:r>
              <w:rPr>
                <w:sz w:val="16"/>
              </w:rPr>
              <w:t>1.59</w:t>
            </w:r>
          </w:p>
        </w:tc>
        <w:tc>
          <w:tcPr>
            <w:tcW w:type="dxa" w:w="1020"/>
          </w:tcPr>
          <w:p>
            <w:pPr>
              <w:spacing w:after="20" w:before="20" w:line="240" w:lineRule="auto"/>
              <w:jc w:val="left"/>
            </w:pPr>
            <w:r>
              <w:rPr>
                <w:sz w:val="16"/>
              </w:rPr>
              <w:t>chem.</w:t>
            </w:r>
          </w:p>
        </w:tc>
      </w:tr>
      <w:tr>
        <w:tc>
          <w:tcPr>
            <w:tcW w:type="dxa" w:w="1701"/>
          </w:tcPr>
          <w:p>
            <w:pPr>
              <w:spacing w:after="20" w:before="20" w:line="240" w:lineRule="auto"/>
              <w:jc w:val="left"/>
            </w:pPr>
            <w:r>
              <w:rPr>
                <w:sz w:val="16"/>
              </w:rPr>
              <w:t>Gefitinib</w:t>
            </w:r>
          </w:p>
        </w:tc>
        <w:tc>
          <w:tcPr>
            <w:tcW w:type="dxa" w:w="1020"/>
          </w:tcPr>
          <w:p>
            <w:pPr>
              <w:spacing w:after="20" w:before="20" w:line="240" w:lineRule="auto"/>
              <w:jc w:val="left"/>
            </w:pPr>
            <w:r>
              <w:rPr>
                <w:sz w:val="16"/>
              </w:rPr>
              <w:t>Kinase</w:t>
            </w:r>
          </w:p>
        </w:tc>
        <w:tc>
          <w:tcPr>
            <w:tcW w:type="dxa" w:w="1020"/>
          </w:tcPr>
          <w:p>
            <w:pPr>
              <w:spacing w:after="20" w:before="20" w:line="240" w:lineRule="auto"/>
              <w:jc w:val="center"/>
            </w:pPr>
            <w:r>
              <w:rPr>
                <w:sz w:val="16"/>
              </w:rPr>
              <w:t>−9.46</w:t>
            </w:r>
          </w:p>
        </w:tc>
        <w:tc>
          <w:tcPr>
            <w:tcW w:type="dxa" w:w="1020"/>
          </w:tcPr>
          <w:p>
            <w:pPr>
              <w:spacing w:after="20" w:before="20" w:line="240" w:lineRule="auto"/>
              <w:jc w:val="center"/>
            </w:pPr>
            <w:r>
              <w:rPr>
                <w:sz w:val="16"/>
              </w:rPr>
              <w:t>−35.5</w:t>
            </w:r>
          </w:p>
        </w:tc>
        <w:tc>
          <w:tcPr>
            <w:tcW w:type="dxa" w:w="907"/>
          </w:tcPr>
          <w:p>
            <w:pPr>
              <w:spacing w:after="20" w:before="20" w:line="240" w:lineRule="auto"/>
              <w:jc w:val="center"/>
            </w:pPr>
            <w:r>
              <w:rPr>
                <w:sz w:val="16"/>
              </w:rPr>
              <w:t>−30.1</w:t>
            </w:r>
          </w:p>
        </w:tc>
        <w:tc>
          <w:tcPr>
            <w:tcW w:type="dxa" w:w="794"/>
          </w:tcPr>
          <w:p>
            <w:pPr>
              <w:spacing w:after="20" w:before="20" w:line="240" w:lineRule="auto"/>
              <w:jc w:val="center"/>
            </w:pPr>
            <w:r>
              <w:rPr>
                <w:sz w:val="16"/>
              </w:rPr>
              <w:t>2.88</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Docetaxel</w:t>
            </w:r>
          </w:p>
        </w:tc>
        <w:tc>
          <w:tcPr>
            <w:tcW w:type="dxa" w:w="1020"/>
          </w:tcPr>
          <w:p>
            <w:pPr>
              <w:spacing w:after="20" w:before="20" w:line="240" w:lineRule="auto"/>
              <w:jc w:val="left"/>
            </w:pPr>
            <w:r>
              <w:rPr>
                <w:sz w:val="16"/>
              </w:rPr>
              <w:t>Cyto.</w:t>
            </w:r>
          </w:p>
        </w:tc>
        <w:tc>
          <w:tcPr>
            <w:tcW w:type="dxa" w:w="1020"/>
          </w:tcPr>
          <w:p>
            <w:pPr>
              <w:spacing w:after="20" w:before="20" w:line="240" w:lineRule="auto"/>
              <w:jc w:val="center"/>
            </w:pPr>
            <w:r>
              <w:rPr>
                <w:sz w:val="16"/>
              </w:rPr>
              <w:t>−9.32</w:t>
            </w:r>
          </w:p>
        </w:tc>
        <w:tc>
          <w:tcPr>
            <w:tcW w:type="dxa" w:w="1020"/>
          </w:tcPr>
          <w:p>
            <w:pPr>
              <w:spacing w:after="20" w:before="20" w:line="240" w:lineRule="auto"/>
              <w:jc w:val="center"/>
            </w:pPr>
            <w:r>
              <w:rPr>
                <w:sz w:val="16"/>
              </w:rPr>
              <w:t>−41.0</w:t>
            </w:r>
          </w:p>
        </w:tc>
        <w:tc>
          <w:tcPr>
            <w:tcW w:type="dxa" w:w="907"/>
          </w:tcPr>
          <w:p>
            <w:pPr>
              <w:spacing w:after="20" w:before="20" w:line="240" w:lineRule="auto"/>
              <w:jc w:val="center"/>
            </w:pPr>
            <w:r>
              <w:rPr>
                <w:sz w:val="16"/>
              </w:rPr>
              <w:t>−28.3</w:t>
            </w:r>
          </w:p>
        </w:tc>
        <w:tc>
          <w:tcPr>
            <w:tcW w:type="dxa" w:w="794"/>
          </w:tcPr>
          <w:p>
            <w:pPr>
              <w:spacing w:after="20" w:before="20" w:line="240" w:lineRule="auto"/>
              <w:jc w:val="center"/>
            </w:pPr>
            <w:r>
              <w:rPr>
                <w:sz w:val="16"/>
              </w:rPr>
              <w:t>1.66</w:t>
            </w:r>
          </w:p>
        </w:tc>
        <w:tc>
          <w:tcPr>
            <w:tcW w:type="dxa" w:w="1020"/>
          </w:tcPr>
          <w:p>
            <w:pPr>
              <w:spacing w:after="20" w:before="20" w:line="240" w:lineRule="auto"/>
              <w:jc w:val="left"/>
            </w:pPr>
            <w:r>
              <w:rPr>
                <w:sz w:val="16"/>
              </w:rPr>
              <w:t>chem.</w:t>
            </w:r>
          </w:p>
        </w:tc>
      </w:tr>
      <w:tr>
        <w:tc>
          <w:tcPr>
            <w:tcW w:type="dxa" w:w="1701"/>
          </w:tcPr>
          <w:p>
            <w:pPr>
              <w:spacing w:after="20" w:before="20" w:line="240" w:lineRule="auto"/>
              <w:jc w:val="left"/>
            </w:pPr>
            <w:r>
              <w:rPr>
                <w:sz w:val="16"/>
              </w:rPr>
              <w:t>Alpelisib</w:t>
            </w:r>
          </w:p>
        </w:tc>
        <w:tc>
          <w:tcPr>
            <w:tcW w:type="dxa" w:w="1020"/>
          </w:tcPr>
          <w:p>
            <w:pPr>
              <w:spacing w:after="20" w:before="20" w:line="240" w:lineRule="auto"/>
              <w:jc w:val="left"/>
            </w:pPr>
            <w:r>
              <w:rPr>
                <w:sz w:val="16"/>
              </w:rPr>
              <w:t>Kinase</w:t>
            </w:r>
          </w:p>
        </w:tc>
        <w:tc>
          <w:tcPr>
            <w:tcW w:type="dxa" w:w="1020"/>
          </w:tcPr>
          <w:p>
            <w:pPr>
              <w:spacing w:after="20" w:before="20" w:line="240" w:lineRule="auto"/>
              <w:jc w:val="center"/>
            </w:pPr>
            <w:r>
              <w:rPr>
                <w:sz w:val="16"/>
              </w:rPr>
              <w:t>−9.29</w:t>
            </w:r>
          </w:p>
        </w:tc>
        <w:tc>
          <w:tcPr>
            <w:tcW w:type="dxa" w:w="1020"/>
          </w:tcPr>
          <w:p>
            <w:pPr>
              <w:spacing w:after="20" w:before="20" w:line="240" w:lineRule="auto"/>
              <w:jc w:val="center"/>
            </w:pPr>
            <w:r>
              <w:rPr>
                <w:sz w:val="16"/>
              </w:rPr>
              <w:t>−31.2</w:t>
            </w:r>
          </w:p>
        </w:tc>
        <w:tc>
          <w:tcPr>
            <w:tcW w:type="dxa" w:w="907"/>
          </w:tcPr>
          <w:p>
            <w:pPr>
              <w:spacing w:after="20" w:before="20" w:line="240" w:lineRule="auto"/>
              <w:jc w:val="center"/>
            </w:pPr>
            <w:r>
              <w:rPr>
                <w:sz w:val="16"/>
              </w:rPr>
              <w:t>−28.8</w:t>
            </w:r>
          </w:p>
        </w:tc>
        <w:tc>
          <w:tcPr>
            <w:tcW w:type="dxa" w:w="794"/>
          </w:tcPr>
          <w:p>
            <w:pPr>
              <w:spacing w:after="20" w:before="20" w:line="240" w:lineRule="auto"/>
              <w:jc w:val="center"/>
            </w:pPr>
            <w:r>
              <w:rPr>
                <w:sz w:val="16"/>
              </w:rPr>
              <w:t>2.80</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Erlotinib</w:t>
            </w:r>
          </w:p>
        </w:tc>
        <w:tc>
          <w:tcPr>
            <w:tcW w:type="dxa" w:w="1020"/>
          </w:tcPr>
          <w:p>
            <w:pPr>
              <w:spacing w:after="20" w:before="20" w:line="240" w:lineRule="auto"/>
              <w:jc w:val="left"/>
            </w:pPr>
            <w:r>
              <w:rPr>
                <w:sz w:val="16"/>
              </w:rPr>
              <w:t>Kinase</w:t>
            </w:r>
          </w:p>
        </w:tc>
        <w:tc>
          <w:tcPr>
            <w:tcW w:type="dxa" w:w="1020"/>
          </w:tcPr>
          <w:p>
            <w:pPr>
              <w:spacing w:after="20" w:before="20" w:line="240" w:lineRule="auto"/>
              <w:jc w:val="center"/>
            </w:pPr>
            <w:r>
              <w:rPr>
                <w:sz w:val="16"/>
              </w:rPr>
              <w:t>−9.26</w:t>
            </w:r>
          </w:p>
        </w:tc>
        <w:tc>
          <w:tcPr>
            <w:tcW w:type="dxa" w:w="1020"/>
          </w:tcPr>
          <w:p>
            <w:pPr>
              <w:spacing w:after="20" w:before="20" w:line="240" w:lineRule="auto"/>
              <w:jc w:val="center"/>
            </w:pPr>
            <w:r>
              <w:rPr>
                <w:sz w:val="16"/>
              </w:rPr>
              <w:t>−49.3</w:t>
            </w:r>
          </w:p>
        </w:tc>
        <w:tc>
          <w:tcPr>
            <w:tcW w:type="dxa" w:w="907"/>
          </w:tcPr>
          <w:p>
            <w:pPr>
              <w:spacing w:after="20" w:before="20" w:line="240" w:lineRule="auto"/>
              <w:jc w:val="center"/>
            </w:pPr>
            <w:r>
              <w:rPr>
                <w:sz w:val="16"/>
              </w:rPr>
              <w:t>−31.6</w:t>
            </w:r>
          </w:p>
        </w:tc>
        <w:tc>
          <w:tcPr>
            <w:tcW w:type="dxa" w:w="794"/>
          </w:tcPr>
          <w:p>
            <w:pPr>
              <w:spacing w:after="20" w:before="20" w:line="240" w:lineRule="auto"/>
              <w:jc w:val="center"/>
            </w:pPr>
            <w:r>
              <w:rPr>
                <w:sz w:val="16"/>
              </w:rPr>
              <w:t>1.61</w:t>
            </w:r>
          </w:p>
        </w:tc>
        <w:tc>
          <w:tcPr>
            <w:tcW w:type="dxa" w:w="1020"/>
          </w:tcPr>
          <w:p>
            <w:pPr>
              <w:spacing w:after="20" w:before="20" w:line="240" w:lineRule="auto"/>
              <w:jc w:val="left"/>
            </w:pPr>
            <w:r>
              <w:rPr>
                <w:sz w:val="16"/>
              </w:rPr>
              <w:t>chem.</w:t>
            </w:r>
          </w:p>
        </w:tc>
      </w:tr>
      <w:tr>
        <w:tc>
          <w:tcPr>
            <w:tcW w:type="dxa" w:w="1701"/>
          </w:tcPr>
          <w:p>
            <w:pPr>
              <w:spacing w:after="20" w:before="20" w:line="240" w:lineRule="auto"/>
              <w:jc w:val="left"/>
            </w:pPr>
            <w:r>
              <w:rPr>
                <w:sz w:val="16"/>
              </w:rPr>
              <w:t>Cabazitaxel</w:t>
            </w:r>
          </w:p>
        </w:tc>
        <w:tc>
          <w:tcPr>
            <w:tcW w:type="dxa" w:w="1020"/>
          </w:tcPr>
          <w:p>
            <w:pPr>
              <w:spacing w:after="20" w:before="20" w:line="240" w:lineRule="auto"/>
              <w:jc w:val="left"/>
            </w:pPr>
            <w:r>
              <w:rPr>
                <w:sz w:val="16"/>
              </w:rPr>
              <w:t>Cyto.</w:t>
            </w:r>
          </w:p>
        </w:tc>
        <w:tc>
          <w:tcPr>
            <w:tcW w:type="dxa" w:w="1020"/>
          </w:tcPr>
          <w:p>
            <w:pPr>
              <w:spacing w:after="20" w:before="20" w:line="240" w:lineRule="auto"/>
              <w:jc w:val="center"/>
            </w:pPr>
            <w:r>
              <w:rPr>
                <w:sz w:val="16"/>
              </w:rPr>
              <w:t>−9.02</w:t>
            </w:r>
          </w:p>
        </w:tc>
        <w:tc>
          <w:tcPr>
            <w:tcW w:type="dxa" w:w="1020"/>
          </w:tcPr>
          <w:p>
            <w:pPr>
              <w:spacing w:after="20" w:before="20" w:line="240" w:lineRule="auto"/>
              <w:jc w:val="center"/>
            </w:pPr>
            <w:r>
              <w:rPr>
                <w:sz w:val="16"/>
              </w:rPr>
              <w:t>−15.8</w:t>
            </w:r>
          </w:p>
        </w:tc>
        <w:tc>
          <w:tcPr>
            <w:tcW w:type="dxa" w:w="907"/>
          </w:tcPr>
          <w:p>
            <w:pPr>
              <w:spacing w:after="20" w:before="20" w:line="240" w:lineRule="auto"/>
              <w:jc w:val="center"/>
            </w:pPr>
            <w:r>
              <w:rPr>
                <w:sz w:val="16"/>
              </w:rPr>
              <w:t>−15.7</w:t>
            </w:r>
          </w:p>
        </w:tc>
        <w:tc>
          <w:tcPr>
            <w:tcW w:type="dxa" w:w="794"/>
          </w:tcPr>
          <w:p>
            <w:pPr>
              <w:spacing w:after="20" w:before="20" w:line="240" w:lineRule="auto"/>
              <w:jc w:val="center"/>
            </w:pPr>
            <w:r>
              <w:rPr>
                <w:sz w:val="16"/>
              </w:rPr>
              <w:t>3.19</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Selumetinib</w:t>
            </w:r>
          </w:p>
        </w:tc>
        <w:tc>
          <w:tcPr>
            <w:tcW w:type="dxa" w:w="1020"/>
          </w:tcPr>
          <w:p>
            <w:pPr>
              <w:spacing w:after="20" w:before="20" w:line="240" w:lineRule="auto"/>
              <w:jc w:val="left"/>
            </w:pPr>
            <w:r>
              <w:rPr>
                <w:sz w:val="16"/>
              </w:rPr>
              <w:t>Kinase</w:t>
            </w:r>
          </w:p>
        </w:tc>
        <w:tc>
          <w:tcPr>
            <w:tcW w:type="dxa" w:w="1020"/>
          </w:tcPr>
          <w:p>
            <w:pPr>
              <w:spacing w:after="20" w:before="20" w:line="240" w:lineRule="auto"/>
              <w:jc w:val="center"/>
            </w:pPr>
            <w:r>
              <w:rPr>
                <w:sz w:val="16"/>
              </w:rPr>
              <w:t>−9.02</w:t>
            </w:r>
          </w:p>
        </w:tc>
        <w:tc>
          <w:tcPr>
            <w:tcW w:type="dxa" w:w="1020"/>
          </w:tcPr>
          <w:p>
            <w:pPr>
              <w:spacing w:after="20" w:before="20" w:line="240" w:lineRule="auto"/>
              <w:jc w:val="center"/>
            </w:pPr>
            <w:r>
              <w:rPr>
                <w:sz w:val="16"/>
              </w:rPr>
              <w:t>−29.0</w:t>
            </w:r>
          </w:p>
        </w:tc>
        <w:tc>
          <w:tcPr>
            <w:tcW w:type="dxa" w:w="907"/>
          </w:tcPr>
          <w:p>
            <w:pPr>
              <w:spacing w:after="20" w:before="20" w:line="240" w:lineRule="auto"/>
              <w:jc w:val="center"/>
            </w:pPr>
            <w:r>
              <w:rPr>
                <w:sz w:val="16"/>
              </w:rPr>
              <w:t>−27.3</w:t>
            </w:r>
          </w:p>
        </w:tc>
        <w:tc>
          <w:tcPr>
            <w:tcW w:type="dxa" w:w="794"/>
          </w:tcPr>
          <w:p>
            <w:pPr>
              <w:spacing w:after="20" w:before="20" w:line="240" w:lineRule="auto"/>
              <w:jc w:val="center"/>
            </w:pPr>
            <w:r>
              <w:rPr>
                <w:sz w:val="16"/>
              </w:rPr>
              <w:t>2.83</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Veliparib</w:t>
            </w:r>
          </w:p>
        </w:tc>
        <w:tc>
          <w:tcPr>
            <w:tcW w:type="dxa" w:w="1020"/>
          </w:tcPr>
          <w:p>
            <w:pPr>
              <w:spacing w:after="20" w:before="20" w:line="240" w:lineRule="auto"/>
              <w:jc w:val="left"/>
            </w:pPr>
            <w:r>
              <w:rPr>
                <w:sz w:val="16"/>
              </w:rPr>
              <w:t>PARP</w:t>
            </w:r>
          </w:p>
        </w:tc>
        <w:tc>
          <w:tcPr>
            <w:tcW w:type="dxa" w:w="1020"/>
          </w:tcPr>
          <w:p>
            <w:pPr>
              <w:spacing w:after="20" w:before="20" w:line="240" w:lineRule="auto"/>
              <w:jc w:val="center"/>
            </w:pPr>
            <w:r>
              <w:rPr>
                <w:sz w:val="16"/>
              </w:rPr>
              <w:t>−8.92</w:t>
            </w:r>
          </w:p>
        </w:tc>
        <w:tc>
          <w:tcPr>
            <w:tcW w:type="dxa" w:w="1020"/>
          </w:tcPr>
          <w:p>
            <w:pPr>
              <w:spacing w:after="20" w:before="20" w:line="240" w:lineRule="auto"/>
              <w:jc w:val="center"/>
            </w:pPr>
            <w:r>
              <w:rPr>
                <w:sz w:val="16"/>
              </w:rPr>
              <w:t>−16.9</w:t>
            </w:r>
          </w:p>
        </w:tc>
        <w:tc>
          <w:tcPr>
            <w:tcW w:type="dxa" w:w="907"/>
          </w:tcPr>
          <w:p>
            <w:pPr>
              <w:spacing w:after="20" w:before="20" w:line="240" w:lineRule="auto"/>
              <w:jc w:val="center"/>
            </w:pPr>
            <w:r>
              <w:rPr>
                <w:sz w:val="16"/>
              </w:rPr>
              <w:t>−14.5</w:t>
            </w:r>
          </w:p>
        </w:tc>
        <w:tc>
          <w:tcPr>
            <w:tcW w:type="dxa" w:w="794"/>
          </w:tcPr>
          <w:p>
            <w:pPr>
              <w:spacing w:after="20" w:before="20" w:line="240" w:lineRule="auto"/>
              <w:jc w:val="center"/>
            </w:pPr>
            <w:r>
              <w:rPr>
                <w:sz w:val="16"/>
              </w:rPr>
              <w:t>2.89</w:t>
            </w:r>
          </w:p>
        </w:tc>
        <w:tc>
          <w:tcPr>
            <w:tcW w:type="dxa" w:w="1020"/>
          </w:tcPr>
          <w:p>
            <w:pPr>
              <w:spacing w:after="20" w:before="20" w:line="240" w:lineRule="auto"/>
              <w:jc w:val="left"/>
            </w:pPr>
            <w:r>
              <w:rPr>
                <w:sz w:val="16"/>
              </w:rPr>
              <w:t>phys.</w:t>
            </w:r>
          </w:p>
        </w:tc>
      </w:tr>
      <w:tr>
        <w:tc>
          <w:tcPr>
            <w:tcW w:type="dxa" w:w="1701"/>
          </w:tcPr>
          <w:p>
            <w:pPr>
              <w:spacing w:after="20" w:before="20" w:line="240" w:lineRule="auto"/>
              <w:jc w:val="left"/>
            </w:pPr>
            <w:r>
              <w:rPr>
                <w:sz w:val="16"/>
              </w:rPr>
              <w:t>Eribulin</w:t>
            </w:r>
          </w:p>
        </w:tc>
        <w:tc>
          <w:tcPr>
            <w:tcW w:type="dxa" w:w="1020"/>
          </w:tcPr>
          <w:p>
            <w:pPr>
              <w:spacing w:after="20" w:before="20" w:line="240" w:lineRule="auto"/>
              <w:jc w:val="left"/>
            </w:pPr>
            <w:r>
              <w:rPr>
                <w:sz w:val="16"/>
              </w:rPr>
              <w:t>Cyto.</w:t>
            </w:r>
          </w:p>
        </w:tc>
        <w:tc>
          <w:tcPr>
            <w:tcW w:type="dxa" w:w="1020"/>
          </w:tcPr>
          <w:p>
            <w:pPr>
              <w:spacing w:after="20" w:before="20" w:line="240" w:lineRule="auto"/>
              <w:jc w:val="center"/>
            </w:pPr>
            <w:r>
              <w:rPr>
                <w:sz w:val="16"/>
              </w:rPr>
              <w:t>−8.92</w:t>
            </w:r>
          </w:p>
        </w:tc>
        <w:tc>
          <w:tcPr>
            <w:tcW w:type="dxa" w:w="1020"/>
          </w:tcPr>
          <w:p>
            <w:pPr>
              <w:spacing w:after="20" w:before="20" w:line="240" w:lineRule="auto"/>
              <w:jc w:val="center"/>
            </w:pPr>
            <w:r>
              <w:rPr>
                <w:sz w:val="16"/>
              </w:rPr>
              <w:t>−62.6</w:t>
            </w:r>
          </w:p>
        </w:tc>
        <w:tc>
          <w:tcPr>
            <w:tcW w:type="dxa" w:w="907"/>
          </w:tcPr>
          <w:p>
            <w:pPr>
              <w:spacing w:after="20" w:before="20" w:line="240" w:lineRule="auto"/>
              <w:jc w:val="center"/>
            </w:pPr>
            <w:r>
              <w:rPr>
                <w:sz w:val="16"/>
              </w:rPr>
              <w:t>−37.6</w:t>
            </w:r>
          </w:p>
        </w:tc>
        <w:tc>
          <w:tcPr>
            <w:tcW w:type="dxa" w:w="794"/>
          </w:tcPr>
          <w:p>
            <w:pPr>
              <w:spacing w:after="20" w:before="20" w:line="240" w:lineRule="auto"/>
              <w:jc w:val="center"/>
            </w:pPr>
            <w:r>
              <w:rPr>
                <w:sz w:val="16"/>
              </w:rPr>
              <w:t>1.62</w:t>
            </w:r>
          </w:p>
        </w:tc>
        <w:tc>
          <w:tcPr>
            <w:tcW w:type="dxa" w:w="1020"/>
          </w:tcPr>
          <w:p>
            <w:pPr>
              <w:spacing w:after="20" w:before="20" w:line="240" w:lineRule="auto"/>
              <w:jc w:val="left"/>
            </w:pPr>
            <w:r>
              <w:rPr>
                <w:sz w:val="16"/>
              </w:rPr>
              <w:t>chem.</w:t>
            </w:r>
          </w:p>
        </w:tc>
      </w:tr>
      <w:tr>
        <w:tc>
          <w:tcPr>
            <w:tcW w:type="dxa" w:w="1701"/>
            <w:tcBorders>
              <w:bottom w:val="single" w:sz="12" w:color="000000"/>
            </w:tcBorders>
          </w:tcPr>
          <w:p>
            <w:pPr>
              <w:spacing w:after="20" w:before="20" w:line="240" w:lineRule="auto"/>
              <w:jc w:val="left"/>
            </w:pPr>
            <w:r>
              <w:rPr>
                <w:sz w:val="16"/>
              </w:rPr>
              <w:t>Everolimus</w:t>
            </w:r>
          </w:p>
        </w:tc>
        <w:tc>
          <w:tcPr>
            <w:tcW w:type="dxa" w:w="1020"/>
            <w:tcBorders>
              <w:bottom w:val="single" w:sz="12" w:color="000000"/>
            </w:tcBorders>
          </w:tcPr>
          <w:p>
            <w:pPr>
              <w:spacing w:after="20" w:before="20" w:line="240" w:lineRule="auto"/>
              <w:jc w:val="left"/>
            </w:pPr>
            <w:r>
              <w:rPr>
                <w:sz w:val="16"/>
              </w:rPr>
              <w:t>Kinase</w:t>
            </w:r>
          </w:p>
        </w:tc>
        <w:tc>
          <w:tcPr>
            <w:tcW w:type="dxa" w:w="1020"/>
            <w:tcBorders>
              <w:bottom w:val="single" w:sz="12" w:color="000000"/>
            </w:tcBorders>
          </w:tcPr>
          <w:p>
            <w:pPr>
              <w:spacing w:after="20" w:before="20" w:line="240" w:lineRule="auto"/>
              <w:jc w:val="center"/>
            </w:pPr>
            <w:r>
              <w:rPr>
                <w:sz w:val="16"/>
              </w:rPr>
              <w:t>−7.76</w:t>
            </w:r>
          </w:p>
        </w:tc>
        <w:tc>
          <w:tcPr>
            <w:tcW w:type="dxa" w:w="1020"/>
            <w:tcBorders>
              <w:bottom w:val="single" w:sz="12" w:color="000000"/>
            </w:tcBorders>
          </w:tcPr>
          <w:p>
            <w:pPr>
              <w:spacing w:after="20" w:before="20" w:line="240" w:lineRule="auto"/>
              <w:jc w:val="center"/>
            </w:pPr>
            <w:r>
              <w:rPr>
                <w:sz w:val="16"/>
              </w:rPr>
              <w:t>−28.2</w:t>
            </w:r>
          </w:p>
        </w:tc>
        <w:tc>
          <w:tcPr>
            <w:tcW w:type="dxa" w:w="907"/>
            <w:tcBorders>
              <w:bottom w:val="single" w:sz="12" w:color="000000"/>
            </w:tcBorders>
          </w:tcPr>
          <w:p>
            <w:pPr>
              <w:spacing w:after="20" w:before="20" w:line="240" w:lineRule="auto"/>
              <w:jc w:val="center"/>
            </w:pPr>
            <w:r>
              <w:rPr>
                <w:sz w:val="16"/>
              </w:rPr>
              <w:t>−29.2</w:t>
            </w:r>
          </w:p>
        </w:tc>
        <w:tc>
          <w:tcPr>
            <w:tcW w:type="dxa" w:w="794"/>
            <w:tcBorders>
              <w:bottom w:val="single" w:sz="12" w:color="000000"/>
            </w:tcBorders>
          </w:tcPr>
          <w:p>
            <w:pPr>
              <w:spacing w:after="20" w:before="20" w:line="240" w:lineRule="auto"/>
              <w:jc w:val="center"/>
            </w:pPr>
            <w:r>
              <w:rPr>
                <w:sz w:val="16"/>
              </w:rPr>
              <w:t>2.31</w:t>
            </w:r>
          </w:p>
        </w:tc>
        <w:tc>
          <w:tcPr>
            <w:tcW w:type="dxa" w:w="1020"/>
            <w:tcBorders>
              <w:bottom w:val="single" w:sz="12" w:color="000000"/>
            </w:tcBorders>
          </w:tcPr>
          <w:p>
            <w:pPr>
              <w:spacing w:after="20" w:before="20" w:line="240" w:lineRule="auto"/>
              <w:jc w:val="left"/>
            </w:pPr>
            <w:r>
              <w:rPr>
                <w:sz w:val="16"/>
              </w:rPr>
              <w:t>phys.</w:t>
            </w:r>
          </w:p>
        </w:tc>
      </w:tr>
    </w:tbl>
    <w:p>
      <w:pPr>
        <w:spacing w:after="200"/>
      </w:pPr>
      <w:r>
        <w:rPr>
          <w:sz w:val="17"/>
        </w:rPr>
        <w:t>Energies in kcal mol</w:t>
      </w:r>
      <w:r>
        <w:rPr>
          <w:sz w:val="17"/>
          <w:vertAlign w:val="superscript"/>
        </w:rPr>
        <w:t>−1</w:t>
      </w:r>
      <w:r>
        <w:rPr>
          <w:sz w:val="17"/>
        </w:rPr>
        <w:t>; Vina, AutoDock Vina score in PARP1 (4UND); Δ</w:t>
      </w:r>
      <w:r>
        <w:rPr>
          <w:i/>
          <w:sz w:val="17"/>
        </w:rPr>
        <w:t>E</w:t>
      </w:r>
      <w:r>
        <w:rPr>
          <w:sz w:val="17"/>
          <w:vertAlign w:val="subscript"/>
        </w:rPr>
        <w:t>int</w:t>
      </w:r>
      <w:r>
        <w:rPr>
          <w:sz w:val="17"/>
        </w:rPr>
        <w:t>, Δ</w:t>
      </w:r>
      <w:r>
        <w:rPr>
          <w:i/>
          <w:sz w:val="17"/>
        </w:rPr>
        <w:t>E</w:t>
      </w:r>
      <w:r>
        <w:rPr>
          <w:sz w:val="17"/>
          <w:vertAlign w:val="subscript"/>
        </w:rPr>
        <w:t>ads</w:t>
      </w:r>
      <w:r>
        <w:rPr>
          <w:sz w:val="17"/>
        </w:rPr>
        <w:t>, GFN2-xTB interaction and adsorption energies on B</w:t>
      </w:r>
      <w:r>
        <w:rPr>
          <w:sz w:val="17"/>
          <w:vertAlign w:val="subscript"/>
        </w:rPr>
        <w:t>36</w:t>
      </w:r>
      <w:r>
        <w:rPr>
          <w:sz w:val="17"/>
        </w:rPr>
        <w:t>N</w:t>
      </w:r>
      <w:r>
        <w:rPr>
          <w:sz w:val="17"/>
          <w:vertAlign w:val="subscript"/>
        </w:rPr>
        <w:t>36</w:t>
      </w:r>
      <w:r>
        <w:rPr>
          <w:sz w:val="17"/>
        </w:rPr>
        <w:t xml:space="preserve">; </w:t>
      </w:r>
      <w:r>
        <w:rPr>
          <w:i/>
          <w:sz w:val="17"/>
        </w:rPr>
        <w:t>d</w:t>
      </w:r>
      <w:r>
        <w:rPr>
          <w:sz w:val="17"/>
          <w:vertAlign w:val="subscript"/>
        </w:rPr>
        <w:t>min</w:t>
      </w:r>
      <w:r>
        <w:rPr>
          <w:sz w:val="17"/>
        </w:rPr>
        <w:t xml:space="preserve">, closest drug–cage heavy-atom contact (Å); chem., chemisorption; phys., physisorption. </w:t>
      </w:r>
      <w:r>
        <w:rPr>
          <w:sz w:val="17"/>
          <w:vertAlign w:val="superscript"/>
        </w:rPr>
        <w:t>a</w:t>
      </w:r>
      <w:r>
        <w:rPr>
          <w:sz w:val="17"/>
        </w:rPr>
        <w:t xml:space="preserve"> The drug's own bonding changed in the complex (reaction); excluded from the Δ</w:t>
      </w:r>
      <w:r>
        <w:rPr>
          <w:i/>
          <w:sz w:val="17"/>
        </w:rPr>
        <w:t>E</w:t>
      </w:r>
      <w:r>
        <w:rPr>
          <w:sz w:val="17"/>
          <w:vertAlign w:val="subscript"/>
        </w:rPr>
        <w:t>int</w:t>
      </w:r>
      <w:r>
        <w:rPr>
          <w:sz w:val="17"/>
        </w:rPr>
        <w:t xml:space="preserve"> QSPR model.</w:t>
      </w:r>
    </w:p>
    <w:p>
      <w:pPr>
        <w:keepNext/>
        <w:spacing w:after="80"/>
      </w:pPr>
      <w:r>
        <w:rPr>
          <w:b/>
          <w:sz w:val="20"/>
        </w:rPr>
        <w:t>Table 2</w:t>
      </w:r>
      <w:r>
        <w:rPr>
          <w:sz w:val="20"/>
        </w:rPr>
        <w:t xml:space="preserve"> </w:t>
      </w:r>
      <w:r>
        <w:rPr>
          <w:sz w:val="20"/>
        </w:rPr>
        <w:t xml:space="preserve">QSPR models (ridge regression; MolWt, MolMR, </w:t>
      </w:r>
      <w:r>
        <w:rPr>
          <w:i/>
          <w:sz w:val="20"/>
        </w:rPr>
        <w:t>E</w:t>
      </w:r>
      <w:r>
        <w:rPr>
          <w:sz w:val="20"/>
          <w:vertAlign w:val="subscript"/>
        </w:rPr>
        <w:t>HOMO</w:t>
      </w:r>
      <w:r>
        <w:rPr>
          <w:sz w:val="20"/>
        </w:rPr>
        <w:t>, ω) under nested 5×5 cross-validation.</w:t>
      </w:r>
    </w:p>
    <w:tbl>
      <w:tblPr>
        <w:jc w:val="left"/>
        <w:tblLayout w:type="fixed"/>
        <w:tblLook w:firstColumn="1" w:firstRow="1" w:lastColumn="0" w:lastRow="0" w:noHBand="0" w:noVBand="1" w:val="04A0"/>
        <w:tblBorders>
          <w:top w:val="nil"/>
          <w:left w:val="nil"/>
          <w:bottom w:val="nil"/>
          <w:right w:val="nil"/>
          <w:insideH w:val="nil"/>
          <w:insideV w:val="nil"/>
        </w:tblBorders>
        <w:tblLayout w:type="fixed"/>
        <w:tblW w:w="8730" w:type="dxa"/>
      </w:tblPr>
      <w:tblGrid>
        <w:gridCol w:w="2267"/>
        <w:gridCol w:w="566"/>
        <w:gridCol w:w="907"/>
        <w:gridCol w:w="907"/>
        <w:gridCol w:w="907"/>
        <w:gridCol w:w="1474"/>
        <w:gridCol w:w="793"/>
        <w:gridCol w:w="907"/>
      </w:tblGrid>
      <w:tr>
        <w:tc>
          <w:tcPr>
            <w:tcW w:type="dxa" w:w="2268"/>
            <w:tcBorders>
              <w:top w:val="single" w:sz="12" w:color="000000"/>
              <w:bottom w:val="single" w:sz="6" w:color="000000"/>
            </w:tcBorders>
          </w:tcPr>
          <w:p>
            <w:pPr>
              <w:spacing w:after="20" w:before="20" w:line="240" w:lineRule="auto"/>
              <w:jc w:val="left"/>
            </w:pPr>
            <w:r>
              <w:rPr>
                <w:b/>
                <w:sz w:val="17"/>
              </w:rPr>
              <w:t>Endpoint</w:t>
            </w:r>
          </w:p>
        </w:tc>
        <w:tc>
          <w:tcPr>
            <w:tcW w:type="dxa" w:w="567"/>
            <w:tcBorders>
              <w:top w:val="single" w:sz="12" w:color="000000"/>
              <w:bottom w:val="single" w:sz="6" w:color="000000"/>
            </w:tcBorders>
          </w:tcPr>
          <w:p>
            <w:pPr>
              <w:spacing w:after="20" w:before="20" w:line="240" w:lineRule="auto"/>
              <w:jc w:val="center"/>
            </w:pPr>
            <w:r>
              <w:rPr>
                <w:b/>
                <w:i/>
                <w:sz w:val="17"/>
              </w:rPr>
              <w:t>n</w:t>
            </w:r>
          </w:p>
        </w:tc>
        <w:tc>
          <w:tcPr>
            <w:tcW w:type="dxa" w:w="907"/>
            <w:tcBorders>
              <w:top w:val="single" w:sz="12" w:color="000000"/>
              <w:bottom w:val="single" w:sz="6" w:color="000000"/>
            </w:tcBorders>
          </w:tcPr>
          <w:p>
            <w:pPr>
              <w:spacing w:after="20" w:before="20" w:line="240" w:lineRule="auto"/>
              <w:jc w:val="center"/>
            </w:pPr>
            <w:r>
              <w:rPr>
                <w:b/>
                <w:i/>
                <w:sz w:val="17"/>
              </w:rPr>
              <w:t>Q</w:t>
            </w:r>
            <w:r>
              <w:rPr>
                <w:b/>
                <w:sz w:val="17"/>
                <w:vertAlign w:val="superscript"/>
              </w:rPr>
              <w:t>2</w:t>
            </w:r>
            <w:r>
              <w:rPr>
                <w:b/>
                <w:sz w:val="17"/>
                <w:vertAlign w:val="subscript"/>
              </w:rPr>
              <w:t>CV</w:t>
            </w:r>
          </w:p>
        </w:tc>
        <w:tc>
          <w:tcPr>
            <w:tcW w:type="dxa" w:w="907"/>
            <w:tcBorders>
              <w:top w:val="single" w:sz="12" w:color="000000"/>
              <w:bottom w:val="single" w:sz="6" w:color="000000"/>
            </w:tcBorders>
          </w:tcPr>
          <w:p>
            <w:pPr>
              <w:spacing w:after="20" w:before="20" w:line="240" w:lineRule="auto"/>
              <w:jc w:val="center"/>
            </w:pPr>
            <w:r>
              <w:rPr>
                <w:b/>
                <w:sz w:val="17"/>
              </w:rPr>
              <w:t>RMSE</w:t>
            </w:r>
          </w:p>
        </w:tc>
        <w:tc>
          <w:tcPr>
            <w:tcW w:type="dxa" w:w="907"/>
            <w:tcBorders>
              <w:top w:val="single" w:sz="12" w:color="000000"/>
              <w:bottom w:val="single" w:sz="6" w:color="000000"/>
            </w:tcBorders>
          </w:tcPr>
          <w:p>
            <w:pPr>
              <w:spacing w:after="20" w:before="20" w:line="240" w:lineRule="auto"/>
              <w:jc w:val="center"/>
            </w:pPr>
            <w:r>
              <w:rPr>
                <w:b/>
                <w:sz w:val="17"/>
              </w:rPr>
              <w:t>MAE</w:t>
            </w:r>
          </w:p>
        </w:tc>
        <w:tc>
          <w:tcPr>
            <w:tcW w:type="dxa" w:w="1474"/>
            <w:tcBorders>
              <w:top w:val="single" w:sz="12" w:color="000000"/>
              <w:bottom w:val="single" w:sz="6" w:color="000000"/>
            </w:tcBorders>
          </w:tcPr>
          <w:p>
            <w:pPr>
              <w:spacing w:after="20" w:before="20" w:line="240" w:lineRule="auto"/>
              <w:jc w:val="center"/>
            </w:pPr>
            <w:r>
              <w:rPr>
                <w:b/>
                <w:i/>
                <w:sz w:val="17"/>
              </w:rPr>
              <w:t>Q</w:t>
            </w:r>
            <w:r>
              <w:rPr>
                <w:b/>
                <w:sz w:val="17"/>
                <w:vertAlign w:val="superscript"/>
              </w:rPr>
              <w:t>2</w:t>
            </w:r>
            <w:r>
              <w:rPr>
                <w:b/>
                <w:sz w:val="17"/>
              </w:rPr>
              <w:t xml:space="preserve"> (perm.)</w:t>
            </w:r>
          </w:p>
        </w:tc>
        <w:tc>
          <w:tcPr>
            <w:tcW w:type="dxa" w:w="794"/>
            <w:tcBorders>
              <w:top w:val="single" w:sz="12" w:color="000000"/>
              <w:bottom w:val="single" w:sz="6" w:color="000000"/>
            </w:tcBorders>
          </w:tcPr>
          <w:p>
            <w:pPr>
              <w:spacing w:after="20" w:before="20" w:line="240" w:lineRule="auto"/>
              <w:jc w:val="center"/>
            </w:pPr>
            <w:r>
              <w:rPr>
                <w:b/>
                <w:i/>
                <w:sz w:val="17"/>
              </w:rPr>
              <w:t>p</w:t>
            </w:r>
          </w:p>
        </w:tc>
        <w:tc>
          <w:tcPr>
            <w:tcW w:type="dxa" w:w="907"/>
            <w:tcBorders>
              <w:top w:val="single" w:sz="12" w:color="000000"/>
              <w:bottom w:val="single" w:sz="6" w:color="000000"/>
            </w:tcBorders>
          </w:tcPr>
          <w:p>
            <w:pPr>
              <w:spacing w:after="20" w:before="20" w:line="240" w:lineRule="auto"/>
              <w:jc w:val="center"/>
            </w:pPr>
            <w:r>
              <w:rPr>
                <w:b/>
                <w:sz w:val="17"/>
              </w:rPr>
              <w:t>In AD</w:t>
            </w:r>
          </w:p>
        </w:tc>
      </w:tr>
      <w:tr>
        <w:tc>
          <w:tcPr>
            <w:tcW w:type="dxa" w:w="2268"/>
          </w:tcPr>
          <w:p>
            <w:pPr>
              <w:spacing w:after="20" w:before="20" w:line="240" w:lineRule="auto"/>
              <w:jc w:val="left"/>
            </w:pPr>
            <w:r>
              <w:rPr>
                <w:sz w:val="17"/>
              </w:rPr>
              <w:t>Vina score, PARP1</w:t>
            </w:r>
          </w:p>
        </w:tc>
        <w:tc>
          <w:tcPr>
            <w:tcW w:type="dxa" w:w="567"/>
          </w:tcPr>
          <w:p>
            <w:pPr>
              <w:spacing w:after="20" w:before="20" w:line="240" w:lineRule="auto"/>
              <w:jc w:val="center"/>
            </w:pPr>
            <w:r>
              <w:rPr>
                <w:sz w:val="17"/>
              </w:rPr>
              <w:t>30</w:t>
            </w:r>
          </w:p>
        </w:tc>
        <w:tc>
          <w:tcPr>
            <w:tcW w:type="dxa" w:w="907"/>
          </w:tcPr>
          <w:p>
            <w:pPr>
              <w:spacing w:after="20" w:before="20" w:line="240" w:lineRule="auto"/>
              <w:jc w:val="center"/>
            </w:pPr>
            <w:r>
              <w:rPr>
                <w:sz w:val="17"/>
              </w:rPr>
              <w:t>−0.08</w:t>
            </w:r>
          </w:p>
        </w:tc>
        <w:tc>
          <w:tcPr>
            <w:tcW w:type="dxa" w:w="907"/>
          </w:tcPr>
          <w:p>
            <w:pPr>
              <w:spacing w:after="20" w:before="20" w:line="240" w:lineRule="auto"/>
              <w:jc w:val="center"/>
            </w:pPr>
            <w:r>
              <w:rPr>
                <w:sz w:val="17"/>
              </w:rPr>
              <w:t>1.21</w:t>
            </w:r>
          </w:p>
        </w:tc>
        <w:tc>
          <w:tcPr>
            <w:tcW w:type="dxa" w:w="907"/>
          </w:tcPr>
          <w:p>
            <w:pPr>
              <w:spacing w:after="20" w:before="20" w:line="240" w:lineRule="auto"/>
              <w:jc w:val="center"/>
            </w:pPr>
            <w:r>
              <w:rPr>
                <w:sz w:val="17"/>
              </w:rPr>
              <w:t>0.96</w:t>
            </w:r>
          </w:p>
        </w:tc>
        <w:tc>
          <w:tcPr>
            <w:tcW w:type="dxa" w:w="1474"/>
          </w:tcPr>
          <w:p>
            <w:pPr>
              <w:spacing w:after="20" w:before="20" w:line="240" w:lineRule="auto"/>
              <w:jc w:val="center"/>
            </w:pPr>
            <w:r>
              <w:rPr>
                <w:sz w:val="17"/>
              </w:rPr>
              <w:t>−0.14</w:t>
            </w:r>
          </w:p>
        </w:tc>
        <w:tc>
          <w:tcPr>
            <w:tcW w:type="dxa" w:w="794"/>
          </w:tcPr>
          <w:p>
            <w:pPr>
              <w:spacing w:after="20" w:before="20" w:line="240" w:lineRule="auto"/>
              <w:jc w:val="center"/>
            </w:pPr>
            <w:r>
              <w:rPr>
                <w:sz w:val="17"/>
              </w:rPr>
              <w:t>0.35</w:t>
            </w:r>
          </w:p>
        </w:tc>
        <w:tc>
          <w:tcPr>
            <w:tcW w:type="dxa" w:w="907"/>
          </w:tcPr>
          <w:p>
            <w:pPr>
              <w:spacing w:after="20" w:before="20" w:line="240" w:lineRule="auto"/>
              <w:jc w:val="center"/>
            </w:pPr>
            <w:r>
              <w:rPr>
                <w:sz w:val="17"/>
              </w:rPr>
              <w:t>29/30</w:t>
            </w:r>
          </w:p>
        </w:tc>
      </w:tr>
      <w:tr>
        <w:tc>
          <w:tcPr>
            <w:tcW w:type="dxa" w:w="2268"/>
            <w:tcBorders>
              <w:bottom w:val="single" w:sz="12" w:color="000000"/>
            </w:tcBorders>
          </w:tcPr>
          <w:p>
            <w:pPr>
              <w:spacing w:after="20" w:before="20" w:line="240" w:lineRule="auto"/>
              <w:jc w:val="left"/>
            </w:pPr>
            <w:r>
              <w:rPr>
                <w:sz w:val="17"/>
              </w:rPr>
              <w:t>Δ</w:t>
            </w:r>
            <w:r>
              <w:rPr>
                <w:i/>
                <w:sz w:val="17"/>
              </w:rPr>
              <w:t>E</w:t>
            </w:r>
            <w:r>
              <w:rPr>
                <w:sz w:val="17"/>
                <w:vertAlign w:val="subscript"/>
              </w:rPr>
              <w:t>int</w:t>
            </w:r>
            <w:r>
              <w:rPr>
                <w:sz w:val="17"/>
              </w:rPr>
              <w:t>, B</w:t>
            </w:r>
            <w:r>
              <w:rPr>
                <w:sz w:val="17"/>
                <w:vertAlign w:val="subscript"/>
              </w:rPr>
              <w:t>36</w:t>
            </w:r>
            <w:r>
              <w:rPr>
                <w:sz w:val="17"/>
              </w:rPr>
              <w:t>N</w:t>
            </w:r>
            <w:r>
              <w:rPr>
                <w:sz w:val="17"/>
                <w:vertAlign w:val="subscript"/>
              </w:rPr>
              <w:t>36</w:t>
            </w:r>
          </w:p>
        </w:tc>
        <w:tc>
          <w:tcPr>
            <w:tcW w:type="dxa" w:w="567"/>
            <w:tcBorders>
              <w:bottom w:val="single" w:sz="12" w:color="000000"/>
            </w:tcBorders>
          </w:tcPr>
          <w:p>
            <w:pPr>
              <w:spacing w:after="20" w:before="20" w:line="240" w:lineRule="auto"/>
              <w:jc w:val="center"/>
            </w:pPr>
            <w:r>
              <w:rPr>
                <w:sz w:val="17"/>
              </w:rPr>
              <w:t>29</w:t>
            </w:r>
          </w:p>
        </w:tc>
        <w:tc>
          <w:tcPr>
            <w:tcW w:type="dxa" w:w="907"/>
            <w:tcBorders>
              <w:bottom w:val="single" w:sz="12" w:color="000000"/>
            </w:tcBorders>
          </w:tcPr>
          <w:p>
            <w:pPr>
              <w:spacing w:after="20" w:before="20" w:line="240" w:lineRule="auto"/>
              <w:jc w:val="center"/>
            </w:pPr>
            <w:r>
              <w:rPr>
                <w:sz w:val="17"/>
              </w:rPr>
              <w:t>−0.08</w:t>
            </w:r>
          </w:p>
        </w:tc>
        <w:tc>
          <w:tcPr>
            <w:tcW w:type="dxa" w:w="907"/>
            <w:tcBorders>
              <w:bottom w:val="single" w:sz="12" w:color="000000"/>
            </w:tcBorders>
          </w:tcPr>
          <w:p>
            <w:pPr>
              <w:spacing w:after="20" w:before="20" w:line="240" w:lineRule="auto"/>
              <w:jc w:val="center"/>
            </w:pPr>
            <w:r>
              <w:rPr>
                <w:sz w:val="17"/>
              </w:rPr>
              <w:t>13.88</w:t>
            </w:r>
          </w:p>
        </w:tc>
        <w:tc>
          <w:tcPr>
            <w:tcW w:type="dxa" w:w="907"/>
            <w:tcBorders>
              <w:bottom w:val="single" w:sz="12" w:color="000000"/>
            </w:tcBorders>
          </w:tcPr>
          <w:p>
            <w:pPr>
              <w:spacing w:after="20" w:before="20" w:line="240" w:lineRule="auto"/>
              <w:jc w:val="center"/>
            </w:pPr>
            <w:r>
              <w:rPr>
                <w:sz w:val="17"/>
              </w:rPr>
              <w:t>11.73</w:t>
            </w:r>
          </w:p>
        </w:tc>
        <w:tc>
          <w:tcPr>
            <w:tcW w:type="dxa" w:w="1474"/>
            <w:tcBorders>
              <w:bottom w:val="single" w:sz="12" w:color="000000"/>
            </w:tcBorders>
          </w:tcPr>
          <w:p>
            <w:pPr>
              <w:spacing w:after="20" w:before="20" w:line="240" w:lineRule="auto"/>
              <w:jc w:val="center"/>
            </w:pPr>
            <w:r>
              <w:rPr>
                <w:sz w:val="17"/>
              </w:rPr>
              <w:t>−0.15</w:t>
            </w:r>
          </w:p>
        </w:tc>
        <w:tc>
          <w:tcPr>
            <w:tcW w:type="dxa" w:w="794"/>
            <w:tcBorders>
              <w:bottom w:val="single" w:sz="12" w:color="000000"/>
            </w:tcBorders>
          </w:tcPr>
          <w:p>
            <w:pPr>
              <w:spacing w:after="20" w:before="20" w:line="240" w:lineRule="auto"/>
              <w:jc w:val="center"/>
            </w:pPr>
            <w:r>
              <w:rPr>
                <w:sz w:val="17"/>
              </w:rPr>
              <w:t>0.32</w:t>
            </w:r>
          </w:p>
        </w:tc>
        <w:tc>
          <w:tcPr>
            <w:tcW w:type="dxa" w:w="907"/>
            <w:tcBorders>
              <w:bottom w:val="single" w:sz="12" w:color="000000"/>
            </w:tcBorders>
          </w:tcPr>
          <w:p>
            <w:pPr>
              <w:spacing w:after="20" w:before="20" w:line="240" w:lineRule="auto"/>
              <w:jc w:val="center"/>
            </w:pPr>
            <w:r>
              <w:rPr>
                <w:sz w:val="17"/>
              </w:rPr>
              <w:t>28/29</w:t>
            </w:r>
          </w:p>
        </w:tc>
      </w:tr>
    </w:tbl>
    <w:p>
      <w:pPr>
        <w:spacing w:after="200"/>
      </w:pPr>
      <w:r>
        <w:rPr>
          <w:sz w:val="17"/>
        </w:rPr>
        <w:t>RMSE and MAE in kcal mol</w:t>
      </w:r>
      <w:r>
        <w:rPr>
          <w:sz w:val="17"/>
          <w:vertAlign w:val="superscript"/>
        </w:rPr>
        <w:t>−1</w:t>
      </w:r>
      <w:r>
        <w:rPr>
          <w:sz w:val="17"/>
        </w:rPr>
        <w:t xml:space="preserve">; </w:t>
      </w:r>
      <w:r>
        <w:rPr>
          <w:i/>
          <w:sz w:val="17"/>
        </w:rPr>
        <w:t>Q</w:t>
      </w:r>
      <w:r>
        <w:rPr>
          <w:sz w:val="17"/>
          <w:vertAlign w:val="superscript"/>
        </w:rPr>
        <w:t>2</w:t>
      </w:r>
      <w:r>
        <w:rPr>
          <w:sz w:val="17"/>
        </w:rPr>
        <w:t xml:space="preserve"> (perm.), mean over 1,000 Y-permutations passed through the same nested procedure; </w:t>
      </w:r>
      <w:r>
        <w:rPr>
          <w:i/>
          <w:sz w:val="17"/>
        </w:rPr>
        <w:t>p</w:t>
      </w:r>
      <w:r>
        <w:rPr>
          <w:sz w:val="17"/>
        </w:rPr>
        <w:t xml:space="preserve"> = (1 + number of permutations reaching the model's </w:t>
      </w:r>
      <w:r>
        <w:rPr>
          <w:i/>
          <w:sz w:val="17"/>
        </w:rPr>
        <w:t>Q</w:t>
      </w:r>
      <w:r>
        <w:rPr>
          <w:sz w:val="17"/>
          <w:vertAlign w:val="superscript"/>
        </w:rPr>
        <w:t>2</w:t>
      </w:r>
      <w:r>
        <w:rPr>
          <w:sz w:val="17"/>
          <w:vertAlign w:val="subscript"/>
        </w:rPr>
        <w:t>CV</w:t>
      </w:r>
      <w:r>
        <w:rPr>
          <w:sz w:val="17"/>
        </w:rPr>
        <w:t>)/1,001; In AD, drugs inside the applicability domain.</w:t>
      </w:r>
    </w:p>
    <w:p>
      <w:pPr>
        <w:pStyle w:val="Heading1"/>
      </w:pPr>
      <w:r>
        <w:rPr/>
        <w:t>Conclusions</w:t>
      </w:r>
    </w:p>
    <w:p>
      <w:pPr>
        <w:ind w:firstLine="340"/>
        <w:jc w:val="both"/>
      </w:pPr>
      <w:r>
        <w:rPr/>
        <w:t>On a chemically valid B</w:t>
      </w:r>
      <w:r>
        <w:rPr>
          <w:vertAlign w:val="subscript"/>
        </w:rPr>
        <w:t>36</w:t>
      </w:r>
      <w:r>
        <w:rPr/>
        <w:t>N</w:t>
      </w:r>
      <w:r>
        <w:rPr>
          <w:vertAlign w:val="subscript"/>
        </w:rPr>
        <w:t>36</w:t>
      </w:r>
      <w:r>
        <w:rPr/>
        <w:t xml:space="preserve"> cage, 12 of 30 anti-TNBC drugs chemisorb through B–O or B–N dative bonds and 18 physisorb; one, doxorubicin, reacts with the cage. The regime, not the therapeutic class, dominates the strength of binding. A docking protocol validated on the crystallographic talazoparib pose places the drugs in the PARP1 nicotinamide pocket and ranks the approved PARP inhibitors first, and the docking score is uncorrelated with carrier binding. Descriptor-based QSPR models fail for both endpoints (</w:t>
      </w:r>
      <w:r>
        <w:rPr>
          <w:i/>
        </w:rPr>
        <w:t>Q</w:t>
      </w:r>
      <w:r>
        <w:rPr>
          <w:vertAlign w:val="superscript"/>
        </w:rPr>
        <w:t>2</w:t>
      </w:r>
      <w:r>
        <w:rPr>
          <w:vertAlign w:val="subscript"/>
        </w:rPr>
        <w:t>CV</w:t>
      </w:r>
      <w:r>
        <w:rPr/>
        <w:t xml:space="preserve"> ≈ −0.08 and −0.08), so with such descriptors B</w:t>
      </w:r>
      <w:r>
        <w:rPr>
          <w:vertAlign w:val="subscript"/>
        </w:rPr>
        <w:t>36</w:t>
      </w:r>
      <w:r>
        <w:rPr/>
        <w:t>N</w:t>
      </w:r>
      <w:r>
        <w:rPr>
          <w:vertAlign w:val="subscript"/>
        </w:rPr>
        <w:t>36</w:t>
      </w:r>
      <w:r>
        <w:rPr/>
        <w:t xml:space="preserve"> loading has to be assessed by explicit adsorption calculations. The study is limited to gas-phase GFN2-xTB energies on a single cage and to rigid-receptor docking; solvation, higher-level energies for the chemisorbed complexes and release kinetics are the natural next steps.</w:t>
      </w:r>
    </w:p>
    <w:p>
      <w:pPr>
        <w:pStyle w:val="Heading1"/>
      </w:pPr>
      <w:r>
        <w:rPr/>
        <w:t>References</w:t>
      </w:r>
    </w:p>
    <w:p>
      <w:pPr>
        <w:spacing w:after="60" w:line="276" w:lineRule="auto"/>
        <w:ind w:left="454" w:hanging="454"/>
      </w:pPr>
      <w:r>
        <w:rPr>
          <w:sz w:val="20"/>
        </w:rPr>
        <w:t>1. Foulkes WD, Smith IE, Reis-Filho JS (2010) Triple-negative breast cancer. N Engl J Med 363:1938–1948. https://doi.org/10.1056/NEJMra1001389</w:t>
      </w:r>
    </w:p>
    <w:p>
      <w:pPr>
        <w:spacing w:after="60" w:line="276" w:lineRule="auto"/>
        <w:ind w:left="454" w:hanging="454"/>
      </w:pPr>
      <w:r>
        <w:rPr>
          <w:sz w:val="20"/>
        </w:rPr>
        <w:t>2. Dent R, Trudeau M, Pritchard KI, Hanna WM, Kahn HK, Sawka CA, Lickley LA, Rawlinson E, Sun P, Narod SA (2007) Triple-negative breast cancer: clinical features and patterns of recurrence. Clin Cancer Res 13:4429–4434. https://doi.org/10.1158/1078-0432.CCR-06-3045</w:t>
      </w:r>
    </w:p>
    <w:p>
      <w:pPr>
        <w:spacing w:after="60" w:line="276" w:lineRule="auto"/>
        <w:ind w:left="454" w:hanging="454"/>
      </w:pPr>
      <w:r>
        <w:rPr>
          <w:sz w:val="20"/>
        </w:rPr>
        <w:t>3. Giaquinto AN, Sung H, Miller KD, Kramer JL, Newman LA, Minihan A, Jemal A, Siegel RL (2022) Breast cancer statistics, 2022. CA Cancer J Clin 72:524–541. https://doi.org/10.3322/caac.21754</w:t>
      </w:r>
    </w:p>
    <w:p>
      <w:pPr>
        <w:spacing w:after="60" w:line="276" w:lineRule="auto"/>
        <w:ind w:left="454" w:hanging="454"/>
      </w:pPr>
      <w:r>
        <w:rPr>
          <w:sz w:val="20"/>
        </w:rPr>
        <w:t>4. Lehmann BD, Bauer JA, Chen X, Sanders ME, Chakravarthy AB, Shyr Y, Pietenpol JA (2011) Identification of human triple-negative breast cancer subtypes and preclinical models for selection of targeted therapies. J Clin Invest 121:2750–2767. https://doi.org/10.1172/JCI45014</w:t>
      </w:r>
    </w:p>
    <w:p>
      <w:pPr>
        <w:spacing w:after="60" w:line="276" w:lineRule="auto"/>
        <w:ind w:left="454" w:hanging="454"/>
      </w:pPr>
      <w:r>
        <w:rPr>
          <w:sz w:val="20"/>
        </w:rPr>
        <w:t>5. Bianchini G, Balko JM, Mayer IA, Sanders ME, Gianni L (2016) Triple-negative breast cancer: challenges and opportunities of a heterogeneous disease. Nat Rev Clin Oncol 13:674–690. https://doi.org/10.1038/nrclinonc.2016.66</w:t>
      </w:r>
    </w:p>
    <w:p>
      <w:pPr>
        <w:spacing w:after="60" w:line="276" w:lineRule="auto"/>
        <w:ind w:left="454" w:hanging="454"/>
      </w:pPr>
      <w:r>
        <w:rPr>
          <w:sz w:val="20"/>
        </w:rPr>
        <w:t>6. Lord CJ, Ashworth A (2017) PARP inhibitors: synthetic lethality in the clinic. Science 355:1152–1158. https://doi.org/10.1126/science.aam7344</w:t>
      </w:r>
    </w:p>
    <w:p>
      <w:pPr>
        <w:spacing w:after="60" w:line="276" w:lineRule="auto"/>
        <w:ind w:left="454" w:hanging="454"/>
      </w:pPr>
      <w:r>
        <w:rPr>
          <w:sz w:val="20"/>
        </w:rPr>
        <w:t>7. Pommier Y, O'Connor MJ, de Bono J (2016) Laying a trap to kill cancer cells: PARP inhibitors and their mechanisms of action. Sci Transl Med 8:362ps17. https://doi.org/10.1126/scitranslmed.aaf9246</w:t>
      </w:r>
    </w:p>
    <w:p>
      <w:pPr>
        <w:spacing w:after="60" w:line="276" w:lineRule="auto"/>
        <w:ind w:left="454" w:hanging="454"/>
      </w:pPr>
      <w:r>
        <w:rPr>
          <w:sz w:val="20"/>
        </w:rPr>
        <w:t>8. Mateo J, Lord CJ, Serra V, Tutt A, Balmaña J, Castroviejo-Bermejo M, Cruz C, Oaknin A, Kaye SB, de Bono JS (2019) A decade of clinical development of PARP inhibitors in perspective. Ann Oncol 30:1437–1447. https://doi.org/10.1093/annonc/mdz192</w:t>
      </w:r>
    </w:p>
    <w:p>
      <w:pPr>
        <w:spacing w:after="60" w:line="276" w:lineRule="auto"/>
        <w:ind w:left="454" w:hanging="454"/>
      </w:pPr>
      <w:r>
        <w:rPr>
          <w:sz w:val="20"/>
        </w:rPr>
        <w:t>9. Robson M, Im SA, Senkus E, Xu B, Domchek SM, Masuda N, Delaloge S, Li W, Tung N, Armstrong A, Wu W, Goessl C, Runswick S, Conte P (2017) Olaparib for metastatic breast cancer in patients with a germline BRCA mutation. N Engl J Med 377:523–533. https://doi.org/10.1056/NEJMoa1706450</w:t>
      </w:r>
    </w:p>
    <w:p>
      <w:pPr>
        <w:spacing w:after="60" w:line="276" w:lineRule="auto"/>
        <w:ind w:left="454" w:hanging="454"/>
      </w:pPr>
      <w:r>
        <w:rPr>
          <w:sz w:val="20"/>
        </w:rPr>
        <w:t>10. Litton JK, Rugo HS, Ettl J, Hurvitz SA, Gonçalves A, Lee KH, Fehrenbacher L, Yerushalmi R, Mina LA, Martin M, Roché H, Im YH, Quek RGW, Markova D, Tudor IC, Hannah AL, Eiermann W, Blum JL (2018) Talazoparib in patients with advanced breast cancer and a germline BRCA mutation. N Engl J Med 379:753–763. https://doi.org/10.1056/NEJMoa1802905</w:t>
      </w:r>
    </w:p>
    <w:p>
      <w:pPr>
        <w:spacing w:after="60" w:line="276" w:lineRule="auto"/>
        <w:ind w:left="454" w:hanging="454"/>
      </w:pPr>
      <w:r>
        <w:rPr>
          <w:sz w:val="20"/>
        </w:rPr>
        <w:t>11. Golberg D, Bando Y, Huang Y, Terao T, Mitome M, Tang C, Zhi C (2010) Boron nitride nanotubes and nanosheets. ACS Nano 4:2979–2993. https://doi.org/10.1021/nn1006495</w:t>
      </w:r>
    </w:p>
    <w:p>
      <w:pPr>
        <w:spacing w:after="60" w:line="276" w:lineRule="auto"/>
        <w:ind w:left="454" w:hanging="454"/>
      </w:pPr>
      <w:r>
        <w:rPr>
          <w:sz w:val="20"/>
        </w:rPr>
        <w:t>12. Chen X, Wu P, Rousseas M, Okawa D, Gartner Z, Zettl A, Bertozzi CR (2009) Boron nitride nanotubes are noncytotoxic and can be functionalized for interaction with proteins and cells. J Am Chem Soc 131:890–891. https://doi.org/10.1021/ja807334b</w:t>
      </w:r>
    </w:p>
    <w:p>
      <w:pPr>
        <w:spacing w:after="60" w:line="276" w:lineRule="auto"/>
        <w:ind w:left="454" w:hanging="454"/>
      </w:pPr>
      <w:r>
        <w:rPr>
          <w:sz w:val="20"/>
        </w:rPr>
        <w:t>13. Merlo A, Mokkapati VRSS, Pandit S, Mijakovic I (2018) Boron nitride nanomaterials: biocompatibility and bio-applications. Biomater Sci 6:2298–2311. https://doi.org/10.1039/C8BM00516H</w:t>
      </w:r>
    </w:p>
    <w:p>
      <w:pPr>
        <w:spacing w:after="60" w:line="276" w:lineRule="auto"/>
        <w:ind w:left="454" w:hanging="454"/>
      </w:pPr>
      <w:r>
        <w:rPr>
          <w:sz w:val="20"/>
        </w:rPr>
        <w:t>14. Genchi GG, Ciofani G (2015) Bioapplications of boron nitride nanotubes. Nanomedicine 10:3315–3319. https://doi.org/10.2217/nnm.15.148</w:t>
      </w:r>
    </w:p>
    <w:p>
      <w:pPr>
        <w:spacing w:after="60" w:line="276" w:lineRule="auto"/>
        <w:ind w:left="454" w:hanging="454"/>
      </w:pPr>
      <w:r>
        <w:rPr>
          <w:sz w:val="20"/>
        </w:rPr>
        <w:t>15. Weng Q, Wang X, Wang X, Bando Y, Golberg D (2016) Functionalized hexagonal boron nitride nanomaterials: emerging properties and applications. Chem Soc Rev 45:3989–4012. https://doi.org/10.1039/C5CS00869G</w:t>
      </w:r>
    </w:p>
    <w:p>
      <w:pPr>
        <w:spacing w:after="60" w:line="276" w:lineRule="auto"/>
        <w:ind w:left="454" w:hanging="454"/>
      </w:pPr>
      <w:r>
        <w:rPr>
          <w:sz w:val="20"/>
        </w:rPr>
        <w:t>16. Strout DL (2000) Structure and stability of boron nitrides: isomers of B</w:t>
      </w:r>
      <w:r>
        <w:rPr>
          <w:sz w:val="20"/>
          <w:vertAlign w:val="subscript"/>
        </w:rPr>
        <w:t>12</w:t>
      </w:r>
      <w:r>
        <w:rPr>
          <w:sz w:val="20"/>
        </w:rPr>
        <w:t>N</w:t>
      </w:r>
      <w:r>
        <w:rPr>
          <w:sz w:val="20"/>
          <w:vertAlign w:val="subscript"/>
        </w:rPr>
        <w:t>12</w:t>
      </w:r>
      <w:r>
        <w:rPr>
          <w:sz w:val="20"/>
        </w:rPr>
        <w:t>. J Phys Chem A 104:3364–3366. https://doi.org/10.1021/jp994129a</w:t>
      </w:r>
    </w:p>
    <w:p>
      <w:pPr>
        <w:spacing w:after="60" w:line="276" w:lineRule="auto"/>
        <w:ind w:left="454" w:hanging="454"/>
      </w:pPr>
      <w:r>
        <w:rPr>
          <w:sz w:val="20"/>
        </w:rPr>
        <w:t>17. Fowler PW, Rogers KM, Seifert G, Terrones M, Terrones H (1999) Pentagonal rings and nitrogen excess in fullerene-based BN cages and nanotube caps. Chem Phys Lett 299:359–367. https://doi.org/10.1016/S0009-2614(98)01265-2</w:t>
      </w:r>
    </w:p>
    <w:p>
      <w:pPr>
        <w:spacing w:after="60" w:line="276" w:lineRule="auto"/>
        <w:ind w:left="454" w:hanging="454"/>
      </w:pPr>
      <w:r>
        <w:rPr>
          <w:sz w:val="20"/>
        </w:rPr>
        <w:t>18. Gholami A, Shakerzadeh E, Chigo Anota E (2023) Exploring the potential use of pristine and metal-encapsulated B</w:t>
      </w:r>
      <w:r>
        <w:rPr>
          <w:sz w:val="20"/>
          <w:vertAlign w:val="subscript"/>
        </w:rPr>
        <w:t>36</w:t>
      </w:r>
      <w:r>
        <w:rPr>
          <w:sz w:val="20"/>
        </w:rPr>
        <w:t>N</w:t>
      </w:r>
      <w:r>
        <w:rPr>
          <w:sz w:val="20"/>
          <w:vertAlign w:val="subscript"/>
        </w:rPr>
        <w:t>36</w:t>
      </w:r>
      <w:r>
        <w:rPr>
          <w:sz w:val="20"/>
        </w:rPr>
        <w:t xml:space="preserve"> fullerenes in delivery of β-lapachone anticancer drug: DFT approach. Polyhedron 232:116295. https://doi.org/10.1016/j.poly.2023.116295</w:t>
      </w:r>
    </w:p>
    <w:p>
      <w:pPr>
        <w:spacing w:after="60" w:line="276" w:lineRule="auto"/>
        <w:ind w:left="454" w:hanging="454"/>
      </w:pPr>
      <w:r>
        <w:rPr>
          <w:sz w:val="20"/>
        </w:rPr>
        <w:t>19. Kim S, Chen J, Cheng T, Gindulyte A, He J, He S, Li Q, Shoemaker BA, Thiessen PA, Yu B, Zaslavsky L, Zhang J, Bolton EE (2021) PubChem in 2021: new data content and improved web interfaces. Nucleic Acids Res 49:D1388–D1395. https://doi.org/10.1093/nar/gkaa971</w:t>
      </w:r>
    </w:p>
    <w:p>
      <w:pPr>
        <w:spacing w:after="60" w:line="276" w:lineRule="auto"/>
        <w:ind w:left="454" w:hanging="454"/>
      </w:pPr>
      <w:r>
        <w:rPr>
          <w:sz w:val="20"/>
        </w:rPr>
        <w:t>20. Berman HM, Westbrook J, Feng Z, Gilliland G, Bhat TN, Weissig H, Shindyalov IN, Bourne PE (2000) The Protein Data Bank. Nucleic Acids Res 28:235–242. https://doi.org/10.1093/nar/28.1.235</w:t>
      </w:r>
    </w:p>
    <w:p>
      <w:pPr>
        <w:spacing w:after="60" w:line="276" w:lineRule="auto"/>
        <w:ind w:left="454" w:hanging="454"/>
      </w:pPr>
      <w:r>
        <w:rPr>
          <w:sz w:val="20"/>
        </w:rPr>
        <w:t>21. Eastman P, Swails J, Chodera JD, McGibbon RT, Zhao Y, Beauchamp KA, Wang LP, Simmonett AC, Harrigan MP, Stern CD, Wiewiora RP, Brooks BR, Pande VS (2017) OpenMM 7: rapid development of high performance algorithms for molecular dynamics. PLoS Comput Biol 13:e1005659. https://doi.org/10.1371/journal.pcbi.1005659</w:t>
      </w:r>
    </w:p>
    <w:p>
      <w:pPr>
        <w:spacing w:after="60" w:line="276" w:lineRule="auto"/>
        <w:ind w:left="454" w:hanging="454"/>
      </w:pPr>
      <w:r>
        <w:rPr>
          <w:sz w:val="20"/>
        </w:rPr>
        <w:t>22. RDKit contributors (2024) RDKit: open-source cheminformatics, version 2024.03. https://www.rdkit.org. https://doi.org/10.5281/zenodo.591637</w:t>
      </w:r>
    </w:p>
    <w:p>
      <w:pPr>
        <w:spacing w:after="60" w:line="276" w:lineRule="auto"/>
        <w:ind w:left="454" w:hanging="454"/>
      </w:pPr>
      <w:r>
        <w:rPr>
          <w:sz w:val="20"/>
        </w:rPr>
        <w:t>23. Wang S, Witek J, Landrum GA, Riniker S (2020) Improving conformer generation for small rings and macrocycles based on distance geometry and experimental torsional-angle preferences. J Chem Inf Model 60:2044–2058. https://doi.org/10.1021/acs.jcim.0c00025</w:t>
      </w:r>
    </w:p>
    <w:p>
      <w:pPr>
        <w:spacing w:after="60" w:line="276" w:lineRule="auto"/>
        <w:ind w:left="454" w:hanging="454"/>
      </w:pPr>
      <w:r>
        <w:rPr>
          <w:sz w:val="20"/>
        </w:rPr>
        <w:t>24. Halgren TA (1996) Merck molecular force field. I. Basis, form, scope, parameterization, and performance of MMFF94. J Comput Chem 17:490–519. https://doi.org/10.1002/(SICI)1096-987X(199604)17:5/6&lt;490::AID-JCC1&gt;3.0.CO;2-P</w:t>
      </w:r>
    </w:p>
    <w:p>
      <w:pPr>
        <w:spacing w:after="60" w:line="276" w:lineRule="auto"/>
        <w:ind w:left="454" w:hanging="454"/>
      </w:pPr>
      <w:r>
        <w:rPr>
          <w:sz w:val="20"/>
        </w:rPr>
        <w:t>25. Trott O, Olson AJ (2010) AutoDock Vina: improving the speed and accuracy of docking with a new scoring function, efficient optimization, and multithreading. J Comput Chem 31:455–461. https://doi.org/10.1002/jcc.21334</w:t>
      </w:r>
    </w:p>
    <w:p>
      <w:pPr>
        <w:spacing w:after="60" w:line="276" w:lineRule="auto"/>
        <w:ind w:left="454" w:hanging="454"/>
      </w:pPr>
      <w:r>
        <w:rPr>
          <w:sz w:val="20"/>
        </w:rPr>
        <w:t>26. Eberhardt J, Santos-Martins D, Tillack AF, Forli S (2021) AutoDock Vina 1.2.0: new docking methods, expanded force field, and Python bindings. J Chem Inf Model 61:3891–3898. https://doi.org/10.1021/acs.jcim.1c00203</w:t>
      </w:r>
    </w:p>
    <w:p>
      <w:pPr>
        <w:spacing w:after="60" w:line="276" w:lineRule="auto"/>
        <w:ind w:left="454" w:hanging="454"/>
      </w:pPr>
      <w:r>
        <w:rPr>
          <w:sz w:val="20"/>
        </w:rPr>
        <w:t>27. Bannwarth C, Ehlert S, Grimme S (2019) GFN2-xTB — an accurate and broadly parametrized self-consistent tight-binding quantum chemical method with multipole electrostatics and density-dependent dispersion contributions. J Chem Theory Comput 15:1652–1671. https://doi.org/10.1021/acs.jctc.8b01176</w:t>
      </w:r>
    </w:p>
    <w:p>
      <w:pPr>
        <w:spacing w:after="60" w:line="276" w:lineRule="auto"/>
        <w:ind w:left="454" w:hanging="454"/>
      </w:pPr>
      <w:r>
        <w:rPr>
          <w:sz w:val="20"/>
        </w:rPr>
        <w:t>28. Bannwarth C, Caldeweyher E, Ehlert S, Hansen A, Pracht P, Seibert J, Spicher S, Grimme S (2021) Extended tight-binding quantum chemistry methods. WIREs Comput Mol Sci 11:e1493. https://doi.org/10.1002/wcms.1493</w:t>
      </w:r>
    </w:p>
    <w:p>
      <w:pPr>
        <w:spacing w:after="60" w:line="276" w:lineRule="auto"/>
        <w:ind w:left="454" w:hanging="454"/>
      </w:pPr>
      <w:r>
        <w:rPr>
          <w:sz w:val="20"/>
        </w:rPr>
        <w:t>29. Caldeweyher E, Ehlert S, Hansen A, Neugebauer H, Spicher S, Bannwarth C, Grimme S (2019) A generally applicable atomic-charge dependent London dispersion correction. J Chem Phys 150:154122. https://doi.org/10.1063/1.5090222</w:t>
      </w:r>
    </w:p>
    <w:p>
      <w:pPr>
        <w:spacing w:after="60" w:line="276" w:lineRule="auto"/>
        <w:ind w:left="454" w:hanging="454"/>
      </w:pPr>
      <w:r>
        <w:rPr>
          <w:sz w:val="20"/>
        </w:rPr>
        <w:t>30. Parr RG, Szentpály Lv, Liu S (1999) Electrophilicity index. J Am Chem Soc 121:1922–1924. https://doi.org/10.1021/ja983494x</w:t>
      </w:r>
    </w:p>
    <w:p>
      <w:pPr>
        <w:spacing w:after="60" w:line="276" w:lineRule="auto"/>
        <w:ind w:left="454" w:hanging="454"/>
      </w:pPr>
      <w:r>
        <w:rPr>
          <w:sz w:val="20"/>
        </w:rPr>
        <w:t>31. Geerlings P, De Proft F, Langenaeker W (2003) Conceptual density functional theory. Chem Rev 103:1793–1874. https://doi.org/10.1021/cr990029p</w:t>
      </w:r>
    </w:p>
    <w:p>
      <w:pPr>
        <w:spacing w:after="60" w:line="276" w:lineRule="auto"/>
        <w:ind w:left="454" w:hanging="454"/>
      </w:pPr>
      <w:r>
        <w:rPr>
          <w:sz w:val="20"/>
        </w:rPr>
        <w:t>32. Karelson M, Lobanov VS, Katritzky AR (1996) Quantum-chemical descriptors in QSAR/QSPR studies. Chem Rev 96:1027–1044. https://doi.org/10.1021/cr950202r</w:t>
      </w:r>
    </w:p>
    <w:p>
      <w:pPr>
        <w:spacing w:after="60" w:line="276" w:lineRule="auto"/>
        <w:ind w:left="454" w:hanging="454"/>
      </w:pPr>
      <w:r>
        <w:rPr>
          <w:sz w:val="20"/>
        </w:rPr>
        <w:t>33. Pedregosa F, Varoquaux G, Gramfort A, Michel V, Thirion B, Grisel O, Blondel M, Prettenhofer P, Weiss R, Dubourg V, Vanderplas J, Passos A, Cournapeau D, Brucher M, Perrot M, Duchesnay E (2011) Scikit-learn: machine learning in Python. J Mach Learn Res 12:2825–2830</w:t>
      </w:r>
    </w:p>
    <w:p>
      <w:pPr>
        <w:spacing w:after="60" w:line="276" w:lineRule="auto"/>
        <w:ind w:left="454" w:hanging="454"/>
      </w:pPr>
      <w:r>
        <w:rPr>
          <w:sz w:val="20"/>
        </w:rPr>
        <w:t>34. Cawley GC, Talbot NLC (2010) On over-fitting in model selection and subsequent selection bias in performance evaluation. J Mach Learn Res 11:2079–2107</w:t>
      </w:r>
    </w:p>
    <w:p>
      <w:pPr>
        <w:spacing w:after="60" w:line="276" w:lineRule="auto"/>
        <w:ind w:left="454" w:hanging="454"/>
      </w:pPr>
      <w:r>
        <w:rPr>
          <w:sz w:val="20"/>
        </w:rPr>
        <w:t>35. Rücker C, Rücker G, Meringer M (2007) y-Randomization and its variants in QSPR/QSAR. J Chem Inf Model 47:2345–2357. https://doi.org/10.1021/ci700157b</w:t>
      </w:r>
    </w:p>
    <w:p>
      <w:pPr>
        <w:spacing w:after="60" w:line="276" w:lineRule="auto"/>
        <w:ind w:left="454" w:hanging="454"/>
      </w:pPr>
      <w:r>
        <w:rPr>
          <w:sz w:val="20"/>
        </w:rPr>
        <w:t>36. OECD (2007) Guidance document on the validation of (quantitative) structure-activity relationship [(Q)SAR] models. OECD Series on Testing and Assessment, No. 69. OECD Publishing, Paris. https://doi.org/10.1787/9789264085442-en</w:t>
      </w:r>
    </w:p>
    <w:p>
      <w:pPr>
        <w:spacing w:after="60" w:line="276" w:lineRule="auto"/>
        <w:ind w:left="454" w:hanging="454"/>
      </w:pPr>
      <w:r>
        <w:rPr>
          <w:sz w:val="20"/>
        </w:rPr>
        <w:t>37. Gramatica P (2007) Principles of QSAR models validation: internal and external. QSAR Comb Sci 26:694–701. https://doi.org/10.1002/qsar.200610151</w:t>
      </w:r>
    </w:p>
    <w:p>
      <w:pPr>
        <w:spacing w:after="60" w:line="276" w:lineRule="auto"/>
        <w:ind w:left="454" w:hanging="454"/>
      </w:pPr>
      <w:r>
        <w:rPr>
          <w:sz w:val="20"/>
        </w:rPr>
        <w:t>38. Tropsha A (2010) Best practices for QSAR model development, validation, and exploitation. Mol Inform 29:476–488. https://doi.org/10.1002/minf.201000061</w:t>
      </w:r>
    </w:p>
    <w:p>
      <w:pPr>
        <w:pStyle w:val="Heading1"/>
      </w:pPr>
      <w:r>
        <w:rPr/>
        <w:t>Statements and Declarations</w:t>
      </w:r>
    </w:p>
    <w:p>
      <w:pPr>
        <w:jc w:val="both"/>
      </w:pPr>
      <w:r>
        <w:rPr>
          <w:b/>
        </w:rPr>
        <w:t>Author contribution</w:t>
      </w:r>
      <w:r>
        <w:rPr/>
        <w:t xml:space="preserve"> </w:t>
      </w:r>
      <w:r>
        <w:rPr/>
        <w:t>Andrés Monreal Hernández conceived the study, performed all calculations and analyses, and wrote the manuscript.</w:t>
      </w:r>
    </w:p>
    <w:p>
      <w:pPr>
        <w:jc w:val="both"/>
      </w:pPr>
      <w:r>
        <w:rPr>
          <w:b/>
        </w:rPr>
        <w:t>Funding</w:t>
      </w:r>
      <w:r>
        <w:rPr/>
        <w:t xml:space="preserve"> </w:t>
      </w:r>
      <w:r>
        <w:rPr/>
        <w:t>No funding was received for this work.</w:t>
      </w:r>
    </w:p>
    <w:p>
      <w:pPr>
        <w:jc w:val="both"/>
      </w:pPr>
      <w:r>
        <w:rPr>
          <w:b/>
        </w:rPr>
        <w:t>Data availability</w:t>
      </w:r>
      <w:r>
        <w:rPr/>
        <w:t xml:space="preserve"> </w:t>
      </w:r>
      <w:r>
        <w:rPr/>
        <w:t>All input structures, relaxed geometries, docking poses, xtb outputs and result tables are available at https://github.com/sircalch/nano-qsar-ai-therapeutics.</w:t>
      </w:r>
    </w:p>
    <w:p>
      <w:pPr>
        <w:jc w:val="both"/>
      </w:pPr>
      <w:r>
        <w:rPr>
          <w:b/>
        </w:rPr>
        <w:t>Code availability</w:t>
      </w:r>
      <w:r>
        <w:rPr/>
        <w:t xml:space="preserve"> </w:t>
      </w:r>
      <w:r>
        <w:rPr/>
        <w:t>The complete pipeline, which regenerates every number, table and figure of this article from the raw inputs, is available at https://github.com/sircalch/nano-qsar-ai-therapeutics under the MIT licence. Software: xtb 6.7.1, AutoDock Vina 1.2.7, Meeko, RDKit, PDBFixer/OpenMM, scikit-learn, PyMOL (open source).</w:t>
      </w:r>
    </w:p>
    <w:p>
      <w:pPr>
        <w:jc w:val="both"/>
      </w:pPr>
      <w:r>
        <w:rPr>
          <w:b/>
        </w:rPr>
        <w:t>Ethics approval</w:t>
      </w:r>
      <w:r>
        <w:rPr/>
        <w:t xml:space="preserve"> </w:t>
      </w:r>
      <w:r>
        <w:rPr/>
        <w:t>Not applicable.</w:t>
      </w:r>
    </w:p>
    <w:p>
      <w:pPr>
        <w:jc w:val="both"/>
      </w:pPr>
      <w:r>
        <w:rPr>
          <w:b/>
        </w:rPr>
        <w:t>Consent to participate</w:t>
      </w:r>
      <w:r>
        <w:rPr/>
        <w:t xml:space="preserve"> </w:t>
      </w:r>
      <w:r>
        <w:rPr/>
        <w:t>Not applicable.</w:t>
      </w:r>
    </w:p>
    <w:p>
      <w:pPr>
        <w:jc w:val="both"/>
      </w:pPr>
      <w:r>
        <w:rPr>
          <w:b/>
        </w:rPr>
        <w:t>Consent for publication</w:t>
      </w:r>
      <w:r>
        <w:rPr/>
        <w:t xml:space="preserve"> </w:t>
      </w:r>
      <w:r>
        <w:rPr/>
        <w:t>Not applicable.</w:t>
      </w:r>
    </w:p>
    <w:p>
      <w:pPr>
        <w:jc w:val="both"/>
      </w:pPr>
      <w:r>
        <w:rPr>
          <w:b/>
        </w:rPr>
        <w:t>Competing interests</w:t>
      </w:r>
      <w:r>
        <w:rPr/>
        <w:t xml:space="preserve"> </w:t>
      </w:r>
      <w:r>
        <w:rPr/>
        <w:t>The author declares no competing interests.</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2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