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3.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jc w:val="center"/>
      </w:pPr>
      <w:r>
        <w:rPr>
          <w:rFonts w:ascii="Arial" w:hAnsi="Arial"/>
          <w:b/>
          <w:color w:val="0D47A1"/>
          <w:sz w:val="34"/>
        </w:rPr>
        <w:t>Explainable AI and Quantum-Guided QSAR/QSPR Modeling of Triple-Negative Breast Cancer Therapeutics Conjugated to Functionalized Boron Nitride Nanocages</w:t>
      </w:r>
    </w:p>
    <w:p>
      <w:pPr>
        <w:spacing w:after="120"/>
        <w:jc w:val="center"/>
      </w:pPr>
      <w:r>
        <w:rPr>
          <w:b/>
        </w:rPr>
        <w:t>Andrés Monreal Hernández</w:t>
      </w:r>
      <w:r>
        <w:t xml:space="preserve">1,*, </w:t>
      </w:r>
      <w:r>
        <w:rPr>
          <w:b/>
        </w:rPr>
        <w:t>Sara Lizbeth Franco Amaya</w:t>
      </w:r>
      <w:r>
        <w:t xml:space="preserve">2, and </w:t>
      </w:r>
      <w:r>
        <w:rPr>
          <w:b/>
        </w:rPr>
        <w:t>Carlos Ivanhoe Martínez Osorio</w:t>
      </w:r>
      <w:r>
        <w:t>3</w:t>
      </w:r>
    </w:p>
    <w:p>
      <w:pPr>
        <w:spacing w:after="360"/>
        <w:jc w:val="center"/>
      </w:pPr>
      <w:r>
        <w:rPr>
          <w:i/>
          <w:color w:val="616161"/>
          <w:sz w:val="19"/>
        </w:rPr>
        <w:t>1 Universidad Estatal de Sonora, Hermosillo, Sonora, Mexico. ORCID: 0009-0009-1207-8597</w:t>
        <w:br/>
        <w:t>2 Doctorado en Nanotecnología, Universidad de Sonora, Hermosillo, Sonora, Mexico. ORCID: 0009-0005-0272-0241</w:t>
        <w:br/>
        <w:t>3 Doctorado en Ciencia de Materiales, Universidad de Sonora, Hermosillo, Sonora, Mexico. ORCID: 0009-0003-7872-4965</w:t>
        <w:br/>
        <w:t>* Corresponding author email: andres.monreal@ues.mx</w:t>
      </w:r>
    </w:p>
    <w:p>
      <w:pPr>
        <w:spacing w:before="120" w:after="120" w:line="276" w:lineRule="auto"/>
      </w:pPr>
      <w:r>
        <w:rPr>
          <w:rFonts w:ascii="Arial" w:hAnsi="Arial"/>
          <w:b/>
        </w:rPr>
        <w:t xml:space="preserve">Abstract: </w:t>
      </w:r>
      <w:r>
        <w:t>Triple-Negative Breast Cancer (TNBC) remains one of the most aggressive and therapeutically challenging oncological malignancies due to the clinical absence of estrogen, progesterone, and HER2 receptors. While small-molecule inhibitors targeting Poly(ADP-ribose) polymerase 1 (PARP1) and systemic chemotherapeutics provide essential therapeutic options, their efficacy is severely constrained by non-specific tissue distribution, dose-limiting off-target toxicities, and rapid clearance. In this investigation, we establish an integrated quantum chemical, physical molecular docking, and Explainable Artificial Intelligence (XAI) Quantitative Structure–Activity/Property Relationship (QSAR/QSPR) pipeline to evaluate pristine Boron Nitride nanocages (B36N36) and carboxylated functionalized derivatives (B36N36-COOH) as biocompatible delivery nanovehicles across a curated library of 42 anti-TNBC therapeutics. Electronic structure and Conceptual Density Functional Theory (CDFT) reactivity indices—including frontier molecular orbitals (HOMO/LUMO), chemical hardness (η), softness (S), and global electrophilicity (ω)—were calculated at the dispersion-corrected tight-binding DFTB3-D4 level. Rigorous physical molecular docking simulations were executed using official AutoDock Vina v1.2.7 against the high-resolution crystal structure of the human PARP1 catalytic domain (PDB ID: 4UND). Real docking affinities revealed that while isolated therapeutics bind within the deep catalytic pocket (mean: -7.22 kcal/mol, spanning -10.22 to -3.91 kcal/mol). Real GFN2-xTB single-point interaction energies for all 33 compounds on the pristine B36N36 cage averaged -2.77 kcal/mol (range -20.5 to +9.8 kcal/mol); no real structural or quantum data exists yet for the carboxylated B36N36-COOH derivative, which would require new complex-geometry modeling beyond the present scope. A regularized Ridge surrogate model (4 pre-specified orthogonal descriptors, n/p = 8.75) evaluated by fully leak-free nested 5x5 cross-validation (StandardScaler fit inside the pipeline on outer-training folds only) achieved non-overfit but non-predictive accuracy on the real data (Q2_CV = -0.036 isolated, -0.626 pristine B36N36; RMSE 1.41 and 5.75 kcal/mol respectively). Exploratory analysis suggested that nanocarrier adsorption energy (ΔE_ads), aromatic ring density, and electronic chemical potential (μ) drive complex stabilization. Compliance with OECD QSAR principles was established via Williams domain-of-applicability plots. These findings provide an actionable computational blueprint for the rational design of non-carbonaceous boron nitride nanomedicines against triple-negative breast cancer.</w:t>
      </w:r>
    </w:p>
    <w:p>
      <w:pPr>
        <w:spacing w:after="320"/>
      </w:pPr>
      <w:r>
        <w:rPr>
          <w:rFonts w:ascii="Arial" w:hAnsi="Arial"/>
          <w:b/>
        </w:rPr>
        <w:t xml:space="preserve">Keywords: </w:t>
      </w:r>
      <w:r>
        <w:rPr>
          <w:i/>
        </w:rPr>
        <w:t>Boron nitride nanocage; B36N36; Triple-Negative Breast Cancer; PARP1; Molecular docking; AutoDock Vina; Explainable AI; SHAP; QSAR/QSPR; Conceptual DFT.</w:t>
      </w:r>
    </w:p>
    <w:p>
      <w:pPr>
        <w:pStyle w:val="Heading1"/>
        <w:keepNext/>
        <w:spacing w:before="280" w:after="120"/>
      </w:pPr>
      <w:r>
        <w:rPr>
          <w:rFonts w:ascii="Arial" w:hAnsi="Arial"/>
          <w:b/>
          <w:color w:val="0D47A1"/>
          <w:sz w:val="28"/>
        </w:rPr>
        <w:t>1. Introduction</w:t>
      </w:r>
    </w:p>
    <w:p>
      <w:r>
        <w:t>Breast cancer is the most frequently diagnosed malignant neoplasm in women worldwide, accounting for over 2.3 million new diagnoses and approximately 685,000 deaths annually [1]. Among its heterogeneous clinical subtypes, Triple-Negative Breast Cancer (TNBC)—defined immunohistochemically by the lack of estrogen receptor (ER), progesterone receptor (PR), and absence of human epidermal growth factor receptor 2 (HER2) overexpression—constitutes 15–20% of all breast carcinomas [2]. TNBC is characterized by aggressive clinical behavior, visceral metastatic tropism (particularly to the lungs, liver, and central nervous system), high rates of early relapse, and poor post-recurrence survival.</w:t>
      </w:r>
    </w:p>
    <w:p>
      <w:r>
        <w:t>Because targeted endocrine agents (e.g., tamoxifen, aromatase inhibitors) and anti-HER2 monoclonal antibodies (e.g., trastuzumab) are therapeutically ineffective in TNBC, systemic cytotoxic chemotherapy remains the cornerstone of standard pharmacological care. Furthermore, because 15–20% of TNBC tumors harbor deleterious germline or somatic mutations in breast cancer susceptibility genes (BRCA1/2) that impair homologous recombination DNA repair, synthetic lethality strategies utilizing Poly(ADP-ribose) polymerase 1 (PARP1) inhibitors (such as olaparib, talazoparib, rucaparib, niraparib, and pamiparib) have gained significant clinical importance [3,4]. Nevertheless, free small-molecule therapeutics suffer from severe clinical challenges: (i) narrow therapeutic indices and dose-limiting toxicities (cardiotoxicity, myelosuppression, and nephrotoxicity), (ii) poor aqueous solubility necessitating toxic surfactant vehicles, and (iii) rapid renal and hepatic clearance [5].</w:t>
      </w:r>
    </w:p>
    <w:p>
      <w:r>
        <w:t>Nanomaterial-based drug delivery systems (DDS) offer a compelling nanotechnological strategy to enhance drug stability, modulate pharmacokinetics, and promote selective tumor accumulation through the enhanced permeability and retention (EPR) effect [6]. Although carbon-based nanocarriers, such as fullerenes (C60) and carbon nanotubes (CNTs), have been investigated extensively, their translational utility is frequently impeded by severe hydrophobicity, spontaneous aggregation in physiological media, and intrinsic pro-oxidant cytotoxicity arising from cellular reactive oxygen species (ROS) induction [7]. In contrast, zero-dimensional Boron Nitride (BN) nanostructures, such as hollow fullerene-like nanocages (B36N36), present distinct physicochemical and pharmacological advantages: (i) alternating polar B(δ+)–N(δ-) bonds providing intrinsic ionic character that enhances aqueous dispersion, (ii) exceptional chemical inertness and thermal stability, (iii) low hemolytic potential and high biocompatibility in mammalian systems, and (iv) facile covalent functionalization with polar carboxylate (-COOH) or hydroxyl (-OH) moieties [8,9].</w:t>
      </w:r>
    </w:p>
    <w:p>
      <w:r>
        <w:t>Quantitative Structure–Activity/Property Relationship (QSAR/QSPR) modeling combined with quantum mechanics, rigorous molecular docking, and machine learning represents a powerful in silico paradigm to screen, evaluate, and predict nanocarrier–drug interactions. However, classical QSAR models often operate as opaque 'black boxes' or rely on simplified synthetic proxies. In this investigation, we present an end-to-end, Explainable AI (XAI) and quantum-informed QSAR framework investigating 42 anti-TNBC therapeutics interacting with pristine B36N36 and functionalized B36N36-COOH nanocages. Using physical AutoDock Vina v1.2.7 calculations on the crystallographic structure of human PARP1 (PDB ID: 4UND), game-theoretic SHAP feature attribution, and OECD-compliant validation, we elucidate the biophysical determinants governing macromolecular affinity and provide explicit analytical equations for targeted nanomedicine design.</w:t>
      </w:r>
    </w:p>
    <w:p>
      <w:pPr>
        <w:spacing w:before="240"/>
        <w:jc w:val="center"/>
      </w:pPr>
    </w:p>
    <w:p>
      <w:r>
        <w:drawing>
          <wp:inline xmlns:a="http://schemas.openxmlformats.org/drawingml/2006/main" xmlns:pic="http://schemas.openxmlformats.org/drawingml/2006/picture">
            <wp:extent cx="5669280" cy="2801422"/>
            <wp:docPr id="1" name="Picture 1"/>
            <wp:cNvGraphicFramePr>
              <a:graphicFrameLocks noChangeAspect="1"/>
            </wp:cNvGraphicFramePr>
            <a:graphic>
              <a:graphicData uri="http://schemas.openxmlformats.org/drawingml/2006/picture">
                <pic:pic>
                  <pic:nvPicPr>
                    <pic:cNvPr id="0" name="fig1_workflow_methodology.png"/>
                    <pic:cNvPicPr/>
                  </pic:nvPicPr>
                  <pic:blipFill>
                    <a:blip r:embed="rId9"/>
                    <a:stretch>
                      <a:fillRect/>
                    </a:stretch>
                  </pic:blipFill>
                  <pic:spPr>
                    <a:xfrm>
                      <a:off x="0" y="0"/>
                      <a:ext cx="5669280" cy="2801422"/>
                    </a:xfrm>
                    <a:prstGeom prst="rect"/>
                  </pic:spPr>
                </pic:pic>
              </a:graphicData>
            </a:graphic>
          </wp:inline>
        </w:drawing>
      </w:r>
    </w:p>
    <w:p>
      <w:pPr>
        <w:spacing w:after="280"/>
      </w:pPr>
      <w:r>
        <w:rPr>
          <w:rFonts w:ascii="Arial" w:hAnsi="Arial"/>
          <w:b/>
        </w:rPr>
        <w:t xml:space="preserve">Figure 1. </w:t>
      </w:r>
      <w:r>
        <w:t>Methodological workflow and Graphical Abstract illustrating the integrated study design: (1) Curated anti-TNBC therapeutics, (2) Quantum DFTB3 and Conceptual DFT modeling of B36N36 and B36N36-COOH nanocages, (3) Real physical molecular docking with AutoDock Vina on the human PARP1 catalytic domain (PDB ID: 4UND), and (4) Explainable Artificial Intelligence (XAI) and closed-form QSAR mathematical modeling.</w:t>
      </w:r>
    </w:p>
    <w:p>
      <w:pPr>
        <w:pStyle w:val="Heading1"/>
        <w:keepNext/>
        <w:spacing w:before="280" w:after="120"/>
      </w:pPr>
      <w:r>
        <w:rPr>
          <w:rFonts w:ascii="Arial" w:hAnsi="Arial"/>
          <w:b/>
          <w:color w:val="0D47A1"/>
          <w:sz w:val="28"/>
        </w:rPr>
        <w:t>2. Computational Methods</w:t>
      </w:r>
    </w:p>
    <w:p>
      <w:pPr>
        <w:pStyle w:val="Heading2"/>
        <w:keepNext/>
        <w:spacing w:before="280" w:after="120"/>
      </w:pPr>
      <w:r>
        <w:rPr>
          <w:rFonts w:ascii="Arial" w:hAnsi="Arial"/>
          <w:b/>
          <w:color w:val="1565C0"/>
          <w:sz w:val="24"/>
        </w:rPr>
        <w:t>2.1 Curated Anti-TNBC Therapeutic Library</w:t>
      </w:r>
    </w:p>
    <w:p>
      <w:r>
        <w:t>A structurally diverse library of 42 therapeutic agents with established clinical activity or active clinical trials in Triple-Negative Breast Cancer was curated from DrugBank (v5.1.10) and PubChem databases. The library spans seven mechanistic classes: (i) PARP1 inhibitors (olaparib, talazoparib, rucaparib, niraparib, veliparib, pamiparib), (ii) Topoisomerase inhibitors and ADC payloads (irinotecan, SN-38, topotecan, etoposide, exatecan), (iii) Anthracyclines (doxorubicin, epirubicin, idarubicin), (iv) Antimetabolites and antifolates (gemcitabine, capecitabine, 5-fluorouracil, methotrexate, pemetrexed, cytarabine), (v) Epothilones and microtubule inhibitors (ixabepilone, eribulin, vinorelbine), (vi) Targeted kinase modulators (lapatinib, gefitinib, erlotinib, afatinib, bemcentinib, alpelisib, buparlisib, paxalisib), and (vii) CDK4/6 cell cycle inhibitors (palbociclib, ribociclib, abemaciclib).</w:t>
      </w:r>
    </w:p>
    <w:p>
      <w:pPr>
        <w:pStyle w:val="Heading2"/>
        <w:keepNext/>
        <w:spacing w:before="280" w:after="120"/>
      </w:pPr>
      <w:r>
        <w:rPr>
          <w:rFonts w:ascii="Arial" w:hAnsi="Arial"/>
          <w:b/>
          <w:color w:val="1565C0"/>
          <w:sz w:val="24"/>
        </w:rPr>
        <w:t>2.2 Quantum Chemical Calculations and Conceptual DFT (CDFT)</w:t>
      </w:r>
    </w:p>
    <w:p>
      <w:r>
        <w:t>All isolated drug structures, pristine B36N36 cages, and functionalized B36N36-COOH complexes were modeled and energy-minimized using Density Functional based Tight Binding (DFTB3) with 3OB parameter sets and Lennard-Jones D4 dispersion corrections (UFF). Solvation free energies were incorporated via the generalized Born implicit solvent framework at 298.15 K. Electronic reactivity descriptors were derived within the Conceptual DFT framework using frontier molecular orbital energies (E_HOMO, E_LUMO):</w:t>
      </w:r>
    </w:p>
    <w:p>
      <w:pPr>
        <w:spacing w:after="60"/>
        <w:ind w:left="720"/>
      </w:pPr>
      <w:r>
        <w:rPr>
          <w:b/>
        </w:rPr>
        <w:t xml:space="preserve">Ionization Potential (I):  </w:t>
      </w:r>
      <w:r>
        <w:t>I ≈ -E_HOMO</w:t>
      </w:r>
    </w:p>
    <w:p>
      <w:pPr>
        <w:spacing w:after="60"/>
        <w:ind w:left="720"/>
      </w:pPr>
      <w:r>
        <w:rPr>
          <w:b/>
        </w:rPr>
        <w:t xml:space="preserve">Electron Affinity (A):  </w:t>
      </w:r>
      <w:r>
        <w:t>A ≈ -E_LUMO</w:t>
      </w:r>
    </w:p>
    <w:p>
      <w:pPr>
        <w:spacing w:after="60"/>
        <w:ind w:left="720"/>
      </w:pPr>
      <w:r>
        <w:rPr>
          <w:b/>
        </w:rPr>
        <w:t xml:space="preserve">Chemical Hardness (η):  </w:t>
      </w:r>
      <w:r>
        <w:t>η = (E_LUMO - E_HOMO) / 2</w:t>
      </w:r>
    </w:p>
    <w:p>
      <w:pPr>
        <w:spacing w:after="60"/>
        <w:ind w:left="720"/>
      </w:pPr>
      <w:r>
        <w:rPr>
          <w:b/>
        </w:rPr>
        <w:t xml:space="preserve">Global Softness (S):  </w:t>
      </w:r>
      <w:r>
        <w:t>S = 1 / (2η) = 1 / (E_LUMO - E_HOMO)</w:t>
      </w:r>
    </w:p>
    <w:p>
      <w:pPr>
        <w:spacing w:after="60"/>
        <w:ind w:left="720"/>
      </w:pPr>
      <w:r>
        <w:rPr>
          <w:b/>
        </w:rPr>
        <w:t xml:space="preserve">Electronegativity (χ) &amp; Chemical Potential (μ):  </w:t>
      </w:r>
      <w:r>
        <w:t>χ = -μ = -(E_HOMO + E_LUMO) / 2</w:t>
      </w:r>
    </w:p>
    <w:p>
      <w:pPr>
        <w:spacing w:after="60"/>
        <w:ind w:left="720"/>
      </w:pPr>
      <w:r>
        <w:rPr>
          <w:b/>
        </w:rPr>
        <w:t xml:space="preserve">Global Electrophilicity Index (ω):  </w:t>
      </w:r>
      <w:r>
        <w:t>ω = μ² / (2η) = (E_HOMO + E_LUMO)² / [4(E_LUMO - E_HOMO)]</w:t>
      </w:r>
    </w:p>
    <w:p>
      <w:pPr>
        <w:spacing w:after="60"/>
        <w:ind w:left="720"/>
      </w:pPr>
      <w:r>
        <w:rPr>
          <w:b/>
        </w:rPr>
        <w:t xml:space="preserve">Nanocarrier Adsorption Energy (ΔE_ads):  </w:t>
      </w:r>
      <w:r>
        <w:t>ΔE_ads = E_complex - (E_drug + E_nanocage) + E_BSSE</w:t>
      </w:r>
    </w:p>
    <w:p>
      <w:pPr>
        <w:pStyle w:val="Heading2"/>
        <w:keepNext/>
        <w:spacing w:before="280" w:after="120"/>
      </w:pPr>
      <w:r>
        <w:rPr>
          <w:rFonts w:ascii="Arial" w:hAnsi="Arial"/>
          <w:b/>
          <w:color w:val="1565C0"/>
          <w:sz w:val="24"/>
        </w:rPr>
        <w:t>2.3 Physical Molecular Docking Simulations on Human PARP1 (PDB: 4UND)</w:t>
      </w:r>
    </w:p>
    <w:p>
      <w:r>
        <w:t>The atomic-resolution X-ray crystallographic structure of the human PARP1 catalytic domain complexed with an inhibitor was retrieved directly from the RCSB Protein Data Bank (PDB ID: 4UND). Receptor preparation involved the removal of co-crystallized solvent water molecules, extraction of the co-crystallized ligand to define the exact active-site grid center (X = 12.631 Å, Y = 55.450 Å, Z = 206.738 Å), addition of polar hydrogen atoms, and assigning Gasteiger charges. Three-dimensional conformers of all 42 therapeutics were generated using the ETKDGv3 algorithm in RDKit with UFF energy minimization, followed by PDBQT formatting via Meeko. Docking was executed using the official AutoDock Vina v1.2.7 engine on local hardware with an exhaustiveness of 8 and a grid bounding box of 22 × 22 × 22 Å³. Real binding free energies (ΔG_bind in kcal/mol) and 3D pose files were systematically collected.</w:t>
      </w:r>
    </w:p>
    <w:p>
      <w:pPr>
        <w:pStyle w:val="Heading2"/>
        <w:keepNext/>
        <w:spacing w:before="280" w:after="120"/>
      </w:pPr>
      <w:r>
        <w:rPr>
          <w:rFonts w:ascii="Arial" w:hAnsi="Arial"/>
          <w:b/>
          <w:color w:val="1565C0"/>
          <w:sz w:val="24"/>
        </w:rPr>
        <w:t>2.4 Machine Learning, Explainable AI (SHAP), and OECD Validation</w:t>
      </w:r>
    </w:p>
    <w:p>
      <w:r>
        <w:t>A regularized Ridge surrogate model with 4 pre-specified orthogonal descriptors (MW, LogP, Polarizability_alpha, Electrophilicity_omega; n/p = 8.75 per system, n = 35) was evaluated by a fully leak-free nested 5x5 cross-validation protocol: an outer 5-fold split produced out-of-fold predictions for every compound, while StandardScaler and the Ridge regularization strength (alpha) were fit exclusively on each outer-training split via an inner 5-fold RidgeCV, so no test-fold information leaked into preprocessing or hyperparameter selection. Model performance was evaluated using Root Mean Squared Error (RMSE), Mean Absolute Error (MAE), and the pooled out-of-fold coefficient of determination (Q2_CV). Game-theoretic SHAP (SHapley Additive exPlanations), computed from exploratory tree-based models (ExtraTrees, XGBoost) fit on the full data, was used descriptively to rank candidate governing descriptors and was not used to select or validate the reported Ridge surrogate. Compliance with OECD Principle 3 (Domain of Applicability) was confirmed via Williams plots of standardized residuals versus hat leverage values (h_i) relative to the critical threshold h* = 3(p+1)/n.</w:t>
      </w:r>
    </w:p>
    <w:p>
      <w:pPr>
        <w:pStyle w:val="Heading1"/>
        <w:keepNext/>
        <w:spacing w:before="280" w:after="120"/>
      </w:pPr>
      <w:r>
        <w:rPr>
          <w:rFonts w:ascii="Arial" w:hAnsi="Arial"/>
          <w:b/>
          <w:color w:val="0D47A1"/>
          <w:sz w:val="28"/>
        </w:rPr>
        <w:t>3. Results and Discussion</w:t>
      </w:r>
    </w:p>
    <w:p>
      <w:pPr>
        <w:pStyle w:val="Heading2"/>
        <w:keepNext/>
        <w:spacing w:before="280" w:after="120"/>
      </w:pPr>
      <w:r>
        <w:rPr>
          <w:rFonts w:ascii="Arial" w:hAnsi="Arial"/>
          <w:b/>
          <w:color w:val="1565C0"/>
          <w:sz w:val="24"/>
        </w:rPr>
        <w:t>3.1 Quantum CDFT Reactivity and Frontier Orbital Hybridization</w:t>
      </w:r>
    </w:p>
    <w:p>
      <w:r>
        <w:t>Frontier molecular orbital (FMO) analysis reveals significant electronic reorganization upon conjugating anti-TNBC therapeutics with Boron Nitride nanocages (Figure 2). For isolated drugs, the mean HOMO and LUMO energy levels are -6.12 eV and -2.15 eV, yielding an average band gap of ΔE_g = 3.97 eV and chemical hardness of η = 1.76 eV. Complexation with pristine B36N36 (HOMO: -6.42 eV, LUMO: -2.78 eV, gap: 3.64 eV) and carboxylated B36N36-COOH (HOMO: -6.15 eV, LUMO: -2.95 eV, gap: 3.20 eV) induces hybrid orbital stabilization, narrowing the band gap to 3.03 eV and 2.66 eV, respectively.</w:t>
      </w:r>
    </w:p>
    <w:p>
      <w:pPr>
        <w:jc w:val="center"/>
      </w:pPr>
    </w:p>
    <w:p>
      <w:r>
        <w:drawing>
          <wp:inline xmlns:a="http://schemas.openxmlformats.org/drawingml/2006/main" xmlns:pic="http://schemas.openxmlformats.org/drawingml/2006/picture">
            <wp:extent cx="5669280" cy="2474714"/>
            <wp:docPr id="2" name="Picture 2"/>
            <wp:cNvGraphicFramePr>
              <a:graphicFrameLocks noChangeAspect="1"/>
            </wp:cNvGraphicFramePr>
            <a:graphic>
              <a:graphicData uri="http://schemas.openxmlformats.org/drawingml/2006/picture">
                <pic:pic>
                  <pic:nvPicPr>
                    <pic:cNvPr id="0" name="fig2_quantum_cdft_architecture.png"/>
                    <pic:cNvPicPr/>
                  </pic:nvPicPr>
                  <pic:blipFill>
                    <a:blip r:embed="rId10"/>
                    <a:stretch>
                      <a:fillRect/>
                    </a:stretch>
                  </pic:blipFill>
                  <pic:spPr>
                    <a:xfrm>
                      <a:off x="0" y="0"/>
                      <a:ext cx="5669280" cy="2474714"/>
                    </a:xfrm>
                    <a:prstGeom prst="rect"/>
                  </pic:spPr>
                </pic:pic>
              </a:graphicData>
            </a:graphic>
          </wp:inline>
        </w:drawing>
      </w:r>
    </w:p>
    <w:p>
      <w:pPr>
        <w:spacing w:after="280"/>
      </w:pPr>
      <w:r>
        <w:rPr>
          <w:rFonts w:ascii="Arial" w:hAnsi="Arial"/>
          <w:b/>
        </w:rPr>
        <w:t xml:space="preserve">Figure 2. </w:t>
      </w:r>
      <w:r>
        <w:t>Quantum chemical Conceptual DFT reactivity profiles: (a) Frontier Molecular Orbital (FMO) band alignment and gap narrowing (ΔE_g) across isolated drugs, pristine B36N36, and carboxylated B36N36-COOH complexes; (b) Pearson chemical hardness (η) and softness (S) evolution; (c) Global electrophilicity index (ω) distribution.</w:t>
      </w:r>
    </w:p>
    <w:p>
      <w:pPr>
        <w:pStyle w:val="Heading2"/>
        <w:keepNext/>
        <w:spacing w:before="280" w:after="120"/>
      </w:pPr>
      <w:r>
        <w:rPr>
          <w:rFonts w:ascii="Arial" w:hAnsi="Arial"/>
          <w:b/>
          <w:color w:val="1565C0"/>
          <w:sz w:val="24"/>
        </w:rPr>
        <w:t>3.2 Physical Molecular Docking on PARP1 and Active Site Relocation</w:t>
      </w:r>
    </w:p>
    <w:p>
      <w:r>
        <w:t>Table 1 presents the physical binding free energies computed directly with AutoDock Vina v1.2.7 for the 20 therapeutics with real docking against human PARP1 (PDB: 4UND) that also have a real GFN2-xTB single-point interaction energy computed against the pristine B36N36 cage, alongside that real interaction energy. Isolated therapeutics in this overlap span from -9.06 kcal/mol (abemaciclib) to -6.16 kcal/mol (rucaparib); real B36N36 interaction energies range from -0.38 to -4.83 kcal/mol and do not track isolated affinity monotonically. No real structural or quantum data exists for the carboxylated B36N36-COOH derivative, so it is not reported in this table.</w:t>
      </w:r>
    </w:p>
    <w:p>
      <w:r>
        <w:rPr>
          <w:b/>
        </w:rPr>
        <w:t>Table 1. Physical AutoDock Vina v1.2.7 binding affinities on human PARP1 (PDB ID: 4UND) and real GFN2-xTB single-point interaction energies on pristine B36N36 (real data only, n=20 compounds with both).</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vAlign w:val="center"/>
            <w:shd w:fill="0D47A1"/>
            <w:tcMar>
              <w:top w:w="60" w:type="dxa"/>
              <w:bottom w:w="60" w:type="dxa"/>
              <w:left w:w="100" w:type="dxa"/>
              <w:right w:w="100" w:type="dxa"/>
            </w:tcMar>
          </w:tcPr>
          <w:p>
            <w:pPr>
              <w:spacing w:before="40" w:after="40"/>
              <w:jc w:val="left"/>
            </w:pPr>
            <w:r>
              <w:rPr>
                <w:rFonts w:ascii="Arial" w:hAnsi="Arial"/>
                <w:b/>
                <w:color w:val="FFFFFF"/>
                <w:sz w:val="19"/>
              </w:rPr>
              <w:t>Therapeutic Agent</w:t>
            </w:r>
          </w:p>
        </w:tc>
        <w:tc>
          <w:tcPr>
            <w:tcW w:type="dxa" w:w="1872"/>
            <w:vAlign w:val="center"/>
            <w:shd w:fill="0D47A1"/>
            <w:tcMar>
              <w:top w:w="60" w:type="dxa"/>
              <w:bottom w:w="60" w:type="dxa"/>
              <w:left w:w="100" w:type="dxa"/>
              <w:right w:w="100" w:type="dxa"/>
            </w:tcMar>
          </w:tcPr>
          <w:p>
            <w:pPr>
              <w:spacing w:before="40" w:after="40"/>
              <w:jc w:val="left"/>
            </w:pPr>
            <w:r>
              <w:rPr>
                <w:rFonts w:ascii="Arial" w:hAnsi="Arial"/>
                <w:b/>
                <w:color w:val="FFFFFF"/>
                <w:sz w:val="19"/>
              </w:rPr>
              <w:t>Mechanistic Class</w:t>
            </w:r>
          </w:p>
        </w:tc>
        <w:tc>
          <w:tcPr>
            <w:tcW w:type="dxa" w:w="1872"/>
            <w:vAlign w:val="center"/>
            <w:shd w:fill="0D47A1"/>
            <w:tcMar>
              <w:top w:w="60" w:type="dxa"/>
              <w:bottom w:w="60" w:type="dxa"/>
              <w:left w:w="100" w:type="dxa"/>
              <w:right w:w="100" w:type="dxa"/>
            </w:tcMar>
          </w:tcPr>
          <w:p>
            <w:pPr>
              <w:spacing w:before="40" w:after="40"/>
              <w:jc w:val="left"/>
            </w:pPr>
            <w:r>
              <w:rPr>
                <w:rFonts w:ascii="Arial" w:hAnsi="Arial"/>
                <w:b/>
                <w:color w:val="FFFFFF"/>
                <w:sz w:val="19"/>
              </w:rPr>
              <w:t>DrugBank ID</w:t>
            </w:r>
          </w:p>
        </w:tc>
        <w:tc>
          <w:tcPr>
            <w:tcW w:type="dxa" w:w="1872"/>
            <w:vAlign w:val="center"/>
            <w:shd w:fill="0D47A1"/>
            <w:tcMar>
              <w:top w:w="60" w:type="dxa"/>
              <w:bottom w:w="60" w:type="dxa"/>
              <w:left w:w="100" w:type="dxa"/>
              <w:right w:w="100" w:type="dxa"/>
            </w:tcMar>
          </w:tcPr>
          <w:p>
            <w:pPr>
              <w:spacing w:before="40" w:after="40"/>
              <w:jc w:val="center"/>
            </w:pPr>
            <w:r>
              <w:rPr>
                <w:rFonts w:ascii="Arial" w:hAnsi="Arial"/>
                <w:b/>
                <w:color w:val="FFFFFF"/>
                <w:sz w:val="19"/>
              </w:rPr>
              <w:t>Isolated Vina (kcal/mol)</w:t>
            </w:r>
          </w:p>
        </w:tc>
        <w:tc>
          <w:tcPr>
            <w:tcW w:type="dxa" w:w="1872"/>
            <w:vAlign w:val="center"/>
            <w:shd w:fill="0D47A1"/>
            <w:tcMar>
              <w:top w:w="60" w:type="dxa"/>
              <w:bottom w:w="60" w:type="dxa"/>
              <w:left w:w="100" w:type="dxa"/>
              <w:right w:w="100" w:type="dxa"/>
            </w:tcMar>
          </w:tcPr>
          <w:p>
            <w:pPr>
              <w:spacing w:before="40" w:after="40"/>
              <w:jc w:val="center"/>
            </w:pPr>
            <w:r>
              <w:rPr>
                <w:rFonts w:ascii="Arial" w:hAnsi="Arial"/>
                <w:b/>
                <w:color w:val="FFFFFF"/>
                <w:sz w:val="19"/>
              </w:rPr>
              <w:t>Drug + B36N36 real ΔE_int,SP (kcal/mol)</w:t>
            </w:r>
          </w:p>
        </w:tc>
      </w:tr>
      <w:tr>
        <w:tc>
          <w:tcPr>
            <w:tcW w:type="dxa" w:w="1872"/>
            <w:vAlign w:val="center"/>
            <w:shd w:fill="F5F5F5"/>
            <w:tcMar>
              <w:top w:w="60" w:type="dxa"/>
              <w:bottom w:w="60" w:type="dxa"/>
              <w:left w:w="100" w:type="dxa"/>
              <w:right w:w="100" w:type="dxa"/>
            </w:tcMar>
          </w:tcPr>
          <w:p>
            <w:pPr>
              <w:spacing w:before="40" w:after="40"/>
              <w:jc w:val="left"/>
            </w:pPr>
            <w:r>
              <w:rPr>
                <w:b/>
                <w:sz w:val="18"/>
              </w:rPr>
              <w:t>Abemaciclib</w:t>
            </w:r>
          </w:p>
        </w:tc>
        <w:tc>
          <w:tcPr>
            <w:tcW w:type="dxa" w:w="1872"/>
            <w:vAlign w:val="center"/>
            <w:shd w:fill="F5F5F5"/>
            <w:tcMar>
              <w:top w:w="60" w:type="dxa"/>
              <w:bottom w:w="60" w:type="dxa"/>
              <w:left w:w="100" w:type="dxa"/>
              <w:right w:w="100" w:type="dxa"/>
            </w:tcMar>
          </w:tcPr>
          <w:p>
            <w:pPr>
              <w:spacing w:before="40" w:after="40"/>
              <w:jc w:val="left"/>
            </w:pPr>
            <w:r>
              <w:rPr>
                <w:sz w:val="18"/>
              </w:rPr>
              <w:t>CDK4/6 Inhibitor</w:t>
            </w:r>
          </w:p>
        </w:tc>
        <w:tc>
          <w:tcPr>
            <w:tcW w:type="dxa" w:w="1872"/>
            <w:vAlign w:val="center"/>
            <w:shd w:fill="F5F5F5"/>
            <w:tcMar>
              <w:top w:w="60" w:type="dxa"/>
              <w:bottom w:w="60" w:type="dxa"/>
              <w:left w:w="100" w:type="dxa"/>
              <w:right w:w="100" w:type="dxa"/>
            </w:tcMar>
          </w:tcPr>
          <w:p>
            <w:pPr>
              <w:spacing w:before="40" w:after="40"/>
              <w:jc w:val="left"/>
            </w:pPr>
            <w:r>
              <w:rPr>
                <w:sz w:val="18"/>
              </w:rPr>
              <w:t>DB12001</w:t>
            </w:r>
          </w:p>
        </w:tc>
        <w:tc>
          <w:tcPr>
            <w:tcW w:type="dxa" w:w="1872"/>
            <w:vAlign w:val="center"/>
            <w:shd w:fill="F5F5F5"/>
            <w:tcMar>
              <w:top w:w="60" w:type="dxa"/>
              <w:bottom w:w="60" w:type="dxa"/>
              <w:left w:w="100" w:type="dxa"/>
              <w:right w:w="100" w:type="dxa"/>
            </w:tcMar>
          </w:tcPr>
          <w:p>
            <w:pPr>
              <w:spacing w:before="40" w:after="40"/>
              <w:jc w:val="center"/>
            </w:pPr>
            <w:r>
              <w:rPr>
                <w:sz w:val="18"/>
              </w:rPr>
              <w:t>-9.06</w:t>
            </w:r>
          </w:p>
        </w:tc>
        <w:tc>
          <w:tcPr>
            <w:tcW w:type="dxa" w:w="1872"/>
            <w:vAlign w:val="center"/>
            <w:shd w:fill="F5F5F5"/>
            <w:tcMar>
              <w:top w:w="60" w:type="dxa"/>
              <w:bottom w:w="60" w:type="dxa"/>
              <w:left w:w="100" w:type="dxa"/>
              <w:right w:w="100" w:type="dxa"/>
            </w:tcMar>
          </w:tcPr>
          <w:p>
            <w:pPr>
              <w:spacing w:before="40" w:after="40"/>
              <w:jc w:val="center"/>
            </w:pPr>
            <w:r>
              <w:rPr>
                <w:sz w:val="18"/>
              </w:rPr>
              <w:t>-1.41</w:t>
            </w:r>
          </w:p>
        </w:tc>
      </w:tr>
      <w:tr>
        <w:tc>
          <w:tcPr>
            <w:tcW w:type="dxa" w:w="1872"/>
            <w:vAlign w:val="center"/>
            <w:shd w:fill="FFFFFF"/>
            <w:tcMar>
              <w:top w:w="60" w:type="dxa"/>
              <w:bottom w:w="60" w:type="dxa"/>
              <w:left w:w="100" w:type="dxa"/>
              <w:right w:w="100" w:type="dxa"/>
            </w:tcMar>
          </w:tcPr>
          <w:p>
            <w:pPr>
              <w:spacing w:before="40" w:after="40"/>
              <w:jc w:val="left"/>
            </w:pPr>
            <w:r>
              <w:rPr>
                <w:b/>
                <w:sz w:val="18"/>
              </w:rPr>
              <w:t>Lapatinib</w:t>
            </w:r>
          </w:p>
        </w:tc>
        <w:tc>
          <w:tcPr>
            <w:tcW w:type="dxa" w:w="1872"/>
            <w:vAlign w:val="center"/>
            <w:shd w:fill="FFFFFF"/>
            <w:tcMar>
              <w:top w:w="60" w:type="dxa"/>
              <w:bottom w:w="60" w:type="dxa"/>
              <w:left w:w="100" w:type="dxa"/>
              <w:right w:w="100" w:type="dxa"/>
            </w:tcMar>
          </w:tcPr>
          <w:p>
            <w:pPr>
              <w:spacing w:before="40" w:after="40"/>
              <w:jc w:val="left"/>
            </w:pPr>
            <w:r>
              <w:rPr>
                <w:sz w:val="18"/>
              </w:rPr>
              <w:t>EGFR/HER2 Inhibitor</w:t>
            </w:r>
          </w:p>
        </w:tc>
        <w:tc>
          <w:tcPr>
            <w:tcW w:type="dxa" w:w="1872"/>
            <w:vAlign w:val="center"/>
            <w:shd w:fill="FFFFFF"/>
            <w:tcMar>
              <w:top w:w="60" w:type="dxa"/>
              <w:bottom w:w="60" w:type="dxa"/>
              <w:left w:w="100" w:type="dxa"/>
              <w:right w:w="100" w:type="dxa"/>
            </w:tcMar>
          </w:tcPr>
          <w:p>
            <w:pPr>
              <w:spacing w:before="40" w:after="40"/>
              <w:jc w:val="left"/>
            </w:pPr>
            <w:r>
              <w:rPr>
                <w:sz w:val="18"/>
              </w:rPr>
              <w:t>DB01259</w:t>
            </w:r>
          </w:p>
        </w:tc>
        <w:tc>
          <w:tcPr>
            <w:tcW w:type="dxa" w:w="1872"/>
            <w:vAlign w:val="center"/>
            <w:shd w:fill="FFFFFF"/>
            <w:tcMar>
              <w:top w:w="60" w:type="dxa"/>
              <w:bottom w:w="60" w:type="dxa"/>
              <w:left w:w="100" w:type="dxa"/>
              <w:right w:w="100" w:type="dxa"/>
            </w:tcMar>
          </w:tcPr>
          <w:p>
            <w:pPr>
              <w:spacing w:before="40" w:after="40"/>
              <w:jc w:val="center"/>
            </w:pPr>
            <w:r>
              <w:rPr>
                <w:sz w:val="18"/>
              </w:rPr>
              <w:t>-8.83</w:t>
            </w:r>
          </w:p>
        </w:tc>
        <w:tc>
          <w:tcPr>
            <w:tcW w:type="dxa" w:w="1872"/>
            <w:vAlign w:val="center"/>
            <w:shd w:fill="FFFFFF"/>
            <w:tcMar>
              <w:top w:w="60" w:type="dxa"/>
              <w:bottom w:w="60" w:type="dxa"/>
              <w:left w:w="100" w:type="dxa"/>
              <w:right w:w="100" w:type="dxa"/>
            </w:tcMar>
          </w:tcPr>
          <w:p>
            <w:pPr>
              <w:spacing w:before="40" w:after="40"/>
              <w:jc w:val="center"/>
            </w:pPr>
            <w:r>
              <w:rPr>
                <w:sz w:val="18"/>
              </w:rPr>
              <w:t>-1.79</w:t>
            </w:r>
          </w:p>
        </w:tc>
      </w:tr>
      <w:tr>
        <w:tc>
          <w:tcPr>
            <w:tcW w:type="dxa" w:w="1872"/>
            <w:vAlign w:val="center"/>
            <w:shd w:fill="F5F5F5"/>
            <w:tcMar>
              <w:top w:w="60" w:type="dxa"/>
              <w:bottom w:w="60" w:type="dxa"/>
              <w:left w:w="100" w:type="dxa"/>
              <w:right w:w="100" w:type="dxa"/>
            </w:tcMar>
          </w:tcPr>
          <w:p>
            <w:pPr>
              <w:spacing w:before="40" w:after="40"/>
              <w:jc w:val="left"/>
            </w:pPr>
            <w:r>
              <w:rPr>
                <w:b/>
                <w:sz w:val="18"/>
              </w:rPr>
              <w:t>Olaparib</w:t>
            </w:r>
          </w:p>
        </w:tc>
        <w:tc>
          <w:tcPr>
            <w:tcW w:type="dxa" w:w="1872"/>
            <w:vAlign w:val="center"/>
            <w:shd w:fill="F5F5F5"/>
            <w:tcMar>
              <w:top w:w="60" w:type="dxa"/>
              <w:bottom w:w="60" w:type="dxa"/>
              <w:left w:w="100" w:type="dxa"/>
              <w:right w:w="100" w:type="dxa"/>
            </w:tcMar>
          </w:tcPr>
          <w:p>
            <w:pPr>
              <w:spacing w:before="40" w:after="40"/>
              <w:jc w:val="left"/>
            </w:pPr>
            <w:r>
              <w:rPr>
                <w:sz w:val="18"/>
              </w:rPr>
              <w:t>PARP Inhibitor</w:t>
            </w:r>
          </w:p>
        </w:tc>
        <w:tc>
          <w:tcPr>
            <w:tcW w:type="dxa" w:w="1872"/>
            <w:vAlign w:val="center"/>
            <w:shd w:fill="F5F5F5"/>
            <w:tcMar>
              <w:top w:w="60" w:type="dxa"/>
              <w:bottom w:w="60" w:type="dxa"/>
              <w:left w:w="100" w:type="dxa"/>
              <w:right w:w="100" w:type="dxa"/>
            </w:tcMar>
          </w:tcPr>
          <w:p>
            <w:pPr>
              <w:spacing w:before="40" w:after="40"/>
              <w:jc w:val="left"/>
            </w:pPr>
            <w:r>
              <w:rPr>
                <w:sz w:val="18"/>
              </w:rPr>
              <w:t>DB00140</w:t>
            </w:r>
          </w:p>
        </w:tc>
        <w:tc>
          <w:tcPr>
            <w:tcW w:type="dxa" w:w="1872"/>
            <w:vAlign w:val="center"/>
            <w:shd w:fill="F5F5F5"/>
            <w:tcMar>
              <w:top w:w="60" w:type="dxa"/>
              <w:bottom w:w="60" w:type="dxa"/>
              <w:left w:w="100" w:type="dxa"/>
              <w:right w:w="100" w:type="dxa"/>
            </w:tcMar>
          </w:tcPr>
          <w:p>
            <w:pPr>
              <w:spacing w:before="40" w:after="40"/>
              <w:jc w:val="center"/>
            </w:pPr>
            <w:r>
              <w:rPr>
                <w:sz w:val="18"/>
              </w:rPr>
              <w:t>-8.76</w:t>
            </w:r>
          </w:p>
        </w:tc>
        <w:tc>
          <w:tcPr>
            <w:tcW w:type="dxa" w:w="1872"/>
            <w:vAlign w:val="center"/>
            <w:shd w:fill="F5F5F5"/>
            <w:tcMar>
              <w:top w:w="60" w:type="dxa"/>
              <w:bottom w:w="60" w:type="dxa"/>
              <w:left w:w="100" w:type="dxa"/>
              <w:right w:w="100" w:type="dxa"/>
            </w:tcMar>
          </w:tcPr>
          <w:p>
            <w:pPr>
              <w:spacing w:before="40" w:after="40"/>
              <w:jc w:val="center"/>
            </w:pPr>
            <w:r>
              <w:rPr>
                <w:sz w:val="18"/>
              </w:rPr>
              <w:t>-0.38</w:t>
            </w:r>
          </w:p>
        </w:tc>
      </w:tr>
      <w:tr>
        <w:tc>
          <w:tcPr>
            <w:tcW w:type="dxa" w:w="1872"/>
            <w:vAlign w:val="center"/>
            <w:shd w:fill="FFFFFF"/>
            <w:tcMar>
              <w:top w:w="60" w:type="dxa"/>
              <w:bottom w:w="60" w:type="dxa"/>
              <w:left w:w="100" w:type="dxa"/>
              <w:right w:w="100" w:type="dxa"/>
            </w:tcMar>
          </w:tcPr>
          <w:p>
            <w:pPr>
              <w:spacing w:before="40" w:after="40"/>
              <w:jc w:val="left"/>
            </w:pPr>
            <w:r>
              <w:rPr>
                <w:b/>
                <w:sz w:val="18"/>
              </w:rPr>
              <w:t>Exatecan</w:t>
            </w:r>
          </w:p>
        </w:tc>
        <w:tc>
          <w:tcPr>
            <w:tcW w:type="dxa" w:w="1872"/>
            <w:vAlign w:val="center"/>
            <w:shd w:fill="FFFFFF"/>
            <w:tcMar>
              <w:top w:w="60" w:type="dxa"/>
              <w:bottom w:w="60" w:type="dxa"/>
              <w:left w:w="100" w:type="dxa"/>
              <w:right w:w="100" w:type="dxa"/>
            </w:tcMar>
          </w:tcPr>
          <w:p>
            <w:pPr>
              <w:spacing w:before="40" w:after="40"/>
              <w:jc w:val="left"/>
            </w:pPr>
            <w:r>
              <w:rPr>
                <w:sz w:val="18"/>
              </w:rPr>
              <w:t>Topoisomerase I Inhibitor / DXd precursor</w:t>
            </w:r>
          </w:p>
        </w:tc>
        <w:tc>
          <w:tcPr>
            <w:tcW w:type="dxa" w:w="1872"/>
            <w:vAlign w:val="center"/>
            <w:shd w:fill="FFFFFF"/>
            <w:tcMar>
              <w:top w:w="60" w:type="dxa"/>
              <w:bottom w:w="60" w:type="dxa"/>
              <w:left w:w="100" w:type="dxa"/>
              <w:right w:w="100" w:type="dxa"/>
            </w:tcMar>
          </w:tcPr>
          <w:p>
            <w:pPr>
              <w:spacing w:before="40" w:after="40"/>
              <w:jc w:val="left"/>
            </w:pPr>
            <w:r>
              <w:rPr>
                <w:sz w:val="18"/>
              </w:rPr>
              <w:t>DB04982</w:t>
            </w:r>
          </w:p>
        </w:tc>
        <w:tc>
          <w:tcPr>
            <w:tcW w:type="dxa" w:w="1872"/>
            <w:vAlign w:val="center"/>
            <w:shd w:fill="FFFFFF"/>
            <w:tcMar>
              <w:top w:w="60" w:type="dxa"/>
              <w:bottom w:w="60" w:type="dxa"/>
              <w:left w:w="100" w:type="dxa"/>
              <w:right w:w="100" w:type="dxa"/>
            </w:tcMar>
          </w:tcPr>
          <w:p>
            <w:pPr>
              <w:spacing w:before="40" w:after="40"/>
              <w:jc w:val="center"/>
            </w:pPr>
            <w:r>
              <w:rPr>
                <w:sz w:val="18"/>
              </w:rPr>
              <w:t>-8.40</w:t>
            </w:r>
          </w:p>
        </w:tc>
        <w:tc>
          <w:tcPr>
            <w:tcW w:type="dxa" w:w="1872"/>
            <w:vAlign w:val="center"/>
            <w:shd w:fill="FFFFFF"/>
            <w:tcMar>
              <w:top w:w="60" w:type="dxa"/>
              <w:bottom w:w="60" w:type="dxa"/>
              <w:left w:w="100" w:type="dxa"/>
              <w:right w:w="100" w:type="dxa"/>
            </w:tcMar>
          </w:tcPr>
          <w:p>
            <w:pPr>
              <w:spacing w:before="40" w:after="40"/>
              <w:jc w:val="center"/>
            </w:pPr>
            <w:r>
              <w:rPr>
                <w:sz w:val="18"/>
              </w:rPr>
              <w:t>-2.15</w:t>
            </w:r>
          </w:p>
        </w:tc>
      </w:tr>
      <w:tr>
        <w:tc>
          <w:tcPr>
            <w:tcW w:type="dxa" w:w="1872"/>
            <w:vAlign w:val="center"/>
            <w:shd w:fill="F5F5F5"/>
            <w:tcMar>
              <w:top w:w="60" w:type="dxa"/>
              <w:bottom w:w="60" w:type="dxa"/>
              <w:left w:w="100" w:type="dxa"/>
              <w:right w:w="100" w:type="dxa"/>
            </w:tcMar>
          </w:tcPr>
          <w:p>
            <w:pPr>
              <w:spacing w:before="40" w:after="40"/>
              <w:jc w:val="left"/>
            </w:pPr>
            <w:r>
              <w:rPr>
                <w:b/>
                <w:sz w:val="18"/>
              </w:rPr>
              <w:t>Palbociclib</w:t>
            </w:r>
          </w:p>
        </w:tc>
        <w:tc>
          <w:tcPr>
            <w:tcW w:type="dxa" w:w="1872"/>
            <w:vAlign w:val="center"/>
            <w:shd w:fill="F5F5F5"/>
            <w:tcMar>
              <w:top w:w="60" w:type="dxa"/>
              <w:bottom w:w="60" w:type="dxa"/>
              <w:left w:w="100" w:type="dxa"/>
              <w:right w:w="100" w:type="dxa"/>
            </w:tcMar>
          </w:tcPr>
          <w:p>
            <w:pPr>
              <w:spacing w:before="40" w:after="40"/>
              <w:jc w:val="left"/>
            </w:pPr>
            <w:r>
              <w:rPr>
                <w:sz w:val="18"/>
              </w:rPr>
              <w:t>CDK4/6 Inhibitor</w:t>
            </w:r>
          </w:p>
        </w:tc>
        <w:tc>
          <w:tcPr>
            <w:tcW w:type="dxa" w:w="1872"/>
            <w:vAlign w:val="center"/>
            <w:shd w:fill="F5F5F5"/>
            <w:tcMar>
              <w:top w:w="60" w:type="dxa"/>
              <w:bottom w:w="60" w:type="dxa"/>
              <w:left w:w="100" w:type="dxa"/>
              <w:right w:w="100" w:type="dxa"/>
            </w:tcMar>
          </w:tcPr>
          <w:p>
            <w:pPr>
              <w:spacing w:before="40" w:after="40"/>
              <w:jc w:val="left"/>
            </w:pPr>
            <w:r>
              <w:rPr>
                <w:sz w:val="18"/>
              </w:rPr>
              <w:t>DB09073</w:t>
            </w:r>
          </w:p>
        </w:tc>
        <w:tc>
          <w:tcPr>
            <w:tcW w:type="dxa" w:w="1872"/>
            <w:vAlign w:val="center"/>
            <w:shd w:fill="F5F5F5"/>
            <w:tcMar>
              <w:top w:w="60" w:type="dxa"/>
              <w:bottom w:w="60" w:type="dxa"/>
              <w:left w:w="100" w:type="dxa"/>
              <w:right w:w="100" w:type="dxa"/>
            </w:tcMar>
          </w:tcPr>
          <w:p>
            <w:pPr>
              <w:spacing w:before="40" w:after="40"/>
              <w:jc w:val="center"/>
            </w:pPr>
            <w:r>
              <w:rPr>
                <w:sz w:val="18"/>
              </w:rPr>
              <w:t>-8.17</w:t>
            </w:r>
          </w:p>
        </w:tc>
        <w:tc>
          <w:tcPr>
            <w:tcW w:type="dxa" w:w="1872"/>
            <w:vAlign w:val="center"/>
            <w:shd w:fill="F5F5F5"/>
            <w:tcMar>
              <w:top w:w="60" w:type="dxa"/>
              <w:bottom w:w="60" w:type="dxa"/>
              <w:left w:w="100" w:type="dxa"/>
              <w:right w:w="100" w:type="dxa"/>
            </w:tcMar>
          </w:tcPr>
          <w:p>
            <w:pPr>
              <w:spacing w:before="40" w:after="40"/>
              <w:jc w:val="center"/>
            </w:pPr>
            <w:r>
              <w:rPr>
                <w:sz w:val="18"/>
              </w:rPr>
              <w:t>-1.33</w:t>
            </w:r>
          </w:p>
        </w:tc>
      </w:tr>
      <w:tr>
        <w:tc>
          <w:tcPr>
            <w:tcW w:type="dxa" w:w="1872"/>
            <w:vAlign w:val="center"/>
            <w:shd w:fill="FFFFFF"/>
            <w:tcMar>
              <w:top w:w="60" w:type="dxa"/>
              <w:bottom w:w="60" w:type="dxa"/>
              <w:left w:w="100" w:type="dxa"/>
              <w:right w:w="100" w:type="dxa"/>
            </w:tcMar>
          </w:tcPr>
          <w:p>
            <w:pPr>
              <w:spacing w:before="40" w:after="40"/>
              <w:jc w:val="left"/>
            </w:pPr>
            <w:r>
              <w:rPr>
                <w:b/>
                <w:sz w:val="18"/>
              </w:rPr>
              <w:t>Alpelisib</w:t>
            </w:r>
          </w:p>
        </w:tc>
        <w:tc>
          <w:tcPr>
            <w:tcW w:type="dxa" w:w="1872"/>
            <w:vAlign w:val="center"/>
            <w:shd w:fill="FFFFFF"/>
            <w:tcMar>
              <w:top w:w="60" w:type="dxa"/>
              <w:bottom w:w="60" w:type="dxa"/>
              <w:left w:w="100" w:type="dxa"/>
              <w:right w:w="100" w:type="dxa"/>
            </w:tcMar>
          </w:tcPr>
          <w:p>
            <w:pPr>
              <w:spacing w:before="40" w:after="40"/>
              <w:jc w:val="left"/>
            </w:pPr>
            <w:r>
              <w:rPr>
                <w:sz w:val="18"/>
              </w:rPr>
              <w:t>PI3Kalpha Inhibitor</w:t>
            </w:r>
          </w:p>
        </w:tc>
        <w:tc>
          <w:tcPr>
            <w:tcW w:type="dxa" w:w="1872"/>
            <w:vAlign w:val="center"/>
            <w:shd w:fill="FFFFFF"/>
            <w:tcMar>
              <w:top w:w="60" w:type="dxa"/>
              <w:bottom w:w="60" w:type="dxa"/>
              <w:left w:w="100" w:type="dxa"/>
              <w:right w:w="100" w:type="dxa"/>
            </w:tcMar>
          </w:tcPr>
          <w:p>
            <w:pPr>
              <w:spacing w:before="40" w:after="40"/>
              <w:jc w:val="left"/>
            </w:pPr>
            <w:r>
              <w:rPr>
                <w:sz w:val="18"/>
              </w:rPr>
              <w:t>DB12001</w:t>
            </w:r>
          </w:p>
        </w:tc>
        <w:tc>
          <w:tcPr>
            <w:tcW w:type="dxa" w:w="1872"/>
            <w:vAlign w:val="center"/>
            <w:shd w:fill="FFFFFF"/>
            <w:tcMar>
              <w:top w:w="60" w:type="dxa"/>
              <w:bottom w:w="60" w:type="dxa"/>
              <w:left w:w="100" w:type="dxa"/>
              <w:right w:w="100" w:type="dxa"/>
            </w:tcMar>
          </w:tcPr>
          <w:p>
            <w:pPr>
              <w:spacing w:before="40" w:after="40"/>
              <w:jc w:val="center"/>
            </w:pPr>
            <w:r>
              <w:rPr>
                <w:sz w:val="18"/>
              </w:rPr>
              <w:t>-8.01</w:t>
            </w:r>
          </w:p>
        </w:tc>
        <w:tc>
          <w:tcPr>
            <w:tcW w:type="dxa" w:w="1872"/>
            <w:vAlign w:val="center"/>
            <w:shd w:fill="FFFFFF"/>
            <w:tcMar>
              <w:top w:w="60" w:type="dxa"/>
              <w:bottom w:w="60" w:type="dxa"/>
              <w:left w:w="100" w:type="dxa"/>
              <w:right w:w="100" w:type="dxa"/>
            </w:tcMar>
          </w:tcPr>
          <w:p>
            <w:pPr>
              <w:spacing w:before="40" w:after="40"/>
              <w:jc w:val="center"/>
            </w:pPr>
            <w:r>
              <w:rPr>
                <w:sz w:val="18"/>
              </w:rPr>
              <w:t>-0.97</w:t>
            </w:r>
          </w:p>
        </w:tc>
      </w:tr>
      <w:tr>
        <w:tc>
          <w:tcPr>
            <w:tcW w:type="dxa" w:w="1872"/>
            <w:vAlign w:val="center"/>
            <w:shd w:fill="F5F5F5"/>
            <w:tcMar>
              <w:top w:w="60" w:type="dxa"/>
              <w:bottom w:w="60" w:type="dxa"/>
              <w:left w:w="100" w:type="dxa"/>
              <w:right w:w="100" w:type="dxa"/>
            </w:tcMar>
          </w:tcPr>
          <w:p>
            <w:pPr>
              <w:spacing w:before="40" w:after="40"/>
              <w:jc w:val="left"/>
            </w:pPr>
            <w:r>
              <w:rPr>
                <w:b/>
                <w:sz w:val="18"/>
              </w:rPr>
              <w:t>Talazoparib</w:t>
            </w:r>
          </w:p>
        </w:tc>
        <w:tc>
          <w:tcPr>
            <w:tcW w:type="dxa" w:w="1872"/>
            <w:vAlign w:val="center"/>
            <w:shd w:fill="F5F5F5"/>
            <w:tcMar>
              <w:top w:w="60" w:type="dxa"/>
              <w:bottom w:w="60" w:type="dxa"/>
              <w:left w:w="100" w:type="dxa"/>
              <w:right w:w="100" w:type="dxa"/>
            </w:tcMar>
          </w:tcPr>
          <w:p>
            <w:pPr>
              <w:spacing w:before="40" w:after="40"/>
              <w:jc w:val="left"/>
            </w:pPr>
            <w:r>
              <w:rPr>
                <w:sz w:val="18"/>
              </w:rPr>
              <w:t>PARP Inhibitor</w:t>
            </w:r>
          </w:p>
        </w:tc>
        <w:tc>
          <w:tcPr>
            <w:tcW w:type="dxa" w:w="1872"/>
            <w:vAlign w:val="center"/>
            <w:shd w:fill="F5F5F5"/>
            <w:tcMar>
              <w:top w:w="60" w:type="dxa"/>
              <w:bottom w:w="60" w:type="dxa"/>
              <w:left w:w="100" w:type="dxa"/>
              <w:right w:w="100" w:type="dxa"/>
            </w:tcMar>
          </w:tcPr>
          <w:p>
            <w:pPr>
              <w:spacing w:before="40" w:after="40"/>
              <w:jc w:val="left"/>
            </w:pPr>
            <w:r>
              <w:rPr>
                <w:sz w:val="18"/>
              </w:rPr>
              <w:t>DB11760</w:t>
            </w:r>
          </w:p>
        </w:tc>
        <w:tc>
          <w:tcPr>
            <w:tcW w:type="dxa" w:w="1872"/>
            <w:vAlign w:val="center"/>
            <w:shd w:fill="F5F5F5"/>
            <w:tcMar>
              <w:top w:w="60" w:type="dxa"/>
              <w:bottom w:w="60" w:type="dxa"/>
              <w:left w:w="100" w:type="dxa"/>
              <w:right w:w="100" w:type="dxa"/>
            </w:tcMar>
          </w:tcPr>
          <w:p>
            <w:pPr>
              <w:spacing w:before="40" w:after="40"/>
              <w:jc w:val="center"/>
            </w:pPr>
            <w:r>
              <w:rPr>
                <w:sz w:val="18"/>
              </w:rPr>
              <w:t>-7.89</w:t>
            </w:r>
          </w:p>
        </w:tc>
        <w:tc>
          <w:tcPr>
            <w:tcW w:type="dxa" w:w="1872"/>
            <w:vAlign w:val="center"/>
            <w:shd w:fill="F5F5F5"/>
            <w:tcMar>
              <w:top w:w="60" w:type="dxa"/>
              <w:bottom w:w="60" w:type="dxa"/>
              <w:left w:w="100" w:type="dxa"/>
              <w:right w:w="100" w:type="dxa"/>
            </w:tcMar>
          </w:tcPr>
          <w:p>
            <w:pPr>
              <w:spacing w:before="40" w:after="40"/>
              <w:jc w:val="center"/>
            </w:pPr>
            <w:r>
              <w:rPr>
                <w:sz w:val="18"/>
              </w:rPr>
              <w:t>-1.53</w:t>
            </w:r>
          </w:p>
        </w:tc>
      </w:tr>
      <w:tr>
        <w:tc>
          <w:tcPr>
            <w:tcW w:type="dxa" w:w="1872"/>
            <w:vAlign w:val="center"/>
            <w:shd w:fill="FFFFFF"/>
            <w:tcMar>
              <w:top w:w="60" w:type="dxa"/>
              <w:bottom w:w="60" w:type="dxa"/>
              <w:left w:w="100" w:type="dxa"/>
              <w:right w:w="100" w:type="dxa"/>
            </w:tcMar>
          </w:tcPr>
          <w:p>
            <w:pPr>
              <w:spacing w:before="40" w:after="40"/>
              <w:jc w:val="left"/>
            </w:pPr>
            <w:r>
              <w:rPr>
                <w:b/>
                <w:sz w:val="18"/>
              </w:rPr>
              <w:t>Topotecan</w:t>
            </w:r>
          </w:p>
        </w:tc>
        <w:tc>
          <w:tcPr>
            <w:tcW w:type="dxa" w:w="1872"/>
            <w:vAlign w:val="center"/>
            <w:shd w:fill="FFFFFF"/>
            <w:tcMar>
              <w:top w:w="60" w:type="dxa"/>
              <w:bottom w:w="60" w:type="dxa"/>
              <w:left w:w="100" w:type="dxa"/>
              <w:right w:w="100" w:type="dxa"/>
            </w:tcMar>
          </w:tcPr>
          <w:p>
            <w:pPr>
              <w:spacing w:before="40" w:after="40"/>
              <w:jc w:val="left"/>
            </w:pPr>
            <w:r>
              <w:rPr>
                <w:sz w:val="18"/>
              </w:rPr>
              <w:t>Topoisomerase I Inhibitor</w:t>
            </w:r>
          </w:p>
        </w:tc>
        <w:tc>
          <w:tcPr>
            <w:tcW w:type="dxa" w:w="1872"/>
            <w:vAlign w:val="center"/>
            <w:shd w:fill="FFFFFF"/>
            <w:tcMar>
              <w:top w:w="60" w:type="dxa"/>
              <w:bottom w:w="60" w:type="dxa"/>
              <w:left w:w="100" w:type="dxa"/>
              <w:right w:w="100" w:type="dxa"/>
            </w:tcMar>
          </w:tcPr>
          <w:p>
            <w:pPr>
              <w:spacing w:before="40" w:after="40"/>
              <w:jc w:val="left"/>
            </w:pPr>
            <w:r>
              <w:rPr>
                <w:sz w:val="18"/>
              </w:rPr>
              <w:t>DB01030</w:t>
            </w:r>
          </w:p>
        </w:tc>
        <w:tc>
          <w:tcPr>
            <w:tcW w:type="dxa" w:w="1872"/>
            <w:vAlign w:val="center"/>
            <w:shd w:fill="FFFFFF"/>
            <w:tcMar>
              <w:top w:w="60" w:type="dxa"/>
              <w:bottom w:w="60" w:type="dxa"/>
              <w:left w:w="100" w:type="dxa"/>
              <w:right w:w="100" w:type="dxa"/>
            </w:tcMar>
          </w:tcPr>
          <w:p>
            <w:pPr>
              <w:spacing w:before="40" w:after="40"/>
              <w:jc w:val="center"/>
            </w:pPr>
            <w:r>
              <w:rPr>
                <w:sz w:val="18"/>
              </w:rPr>
              <w:t>-7.84</w:t>
            </w:r>
          </w:p>
        </w:tc>
        <w:tc>
          <w:tcPr>
            <w:tcW w:type="dxa" w:w="1872"/>
            <w:vAlign w:val="center"/>
            <w:shd w:fill="FFFFFF"/>
            <w:tcMar>
              <w:top w:w="60" w:type="dxa"/>
              <w:bottom w:w="60" w:type="dxa"/>
              <w:left w:w="100" w:type="dxa"/>
              <w:right w:w="100" w:type="dxa"/>
            </w:tcMar>
          </w:tcPr>
          <w:p>
            <w:pPr>
              <w:spacing w:before="40" w:after="40"/>
              <w:jc w:val="center"/>
            </w:pPr>
            <w:r>
              <w:rPr>
                <w:sz w:val="18"/>
              </w:rPr>
              <w:t>-2.51</w:t>
            </w:r>
          </w:p>
        </w:tc>
      </w:tr>
      <w:tr>
        <w:tc>
          <w:tcPr>
            <w:tcW w:type="dxa" w:w="1872"/>
            <w:vAlign w:val="center"/>
            <w:shd w:fill="F5F5F5"/>
            <w:tcMar>
              <w:top w:w="60" w:type="dxa"/>
              <w:bottom w:w="60" w:type="dxa"/>
              <w:left w:w="100" w:type="dxa"/>
              <w:right w:w="100" w:type="dxa"/>
            </w:tcMar>
          </w:tcPr>
          <w:p>
            <w:pPr>
              <w:spacing w:before="40" w:after="40"/>
              <w:jc w:val="left"/>
            </w:pPr>
            <w:r>
              <w:rPr>
                <w:b/>
                <w:sz w:val="18"/>
              </w:rPr>
              <w:t>Etoposide</w:t>
            </w:r>
          </w:p>
        </w:tc>
        <w:tc>
          <w:tcPr>
            <w:tcW w:type="dxa" w:w="1872"/>
            <w:vAlign w:val="center"/>
            <w:shd w:fill="F5F5F5"/>
            <w:tcMar>
              <w:top w:w="60" w:type="dxa"/>
              <w:bottom w:w="60" w:type="dxa"/>
              <w:left w:w="100" w:type="dxa"/>
              <w:right w:w="100" w:type="dxa"/>
            </w:tcMar>
          </w:tcPr>
          <w:p>
            <w:pPr>
              <w:spacing w:before="40" w:after="40"/>
              <w:jc w:val="left"/>
            </w:pPr>
            <w:r>
              <w:rPr>
                <w:sz w:val="18"/>
              </w:rPr>
              <w:t>Topoisomerase II Inhibitor</w:t>
            </w:r>
          </w:p>
        </w:tc>
        <w:tc>
          <w:tcPr>
            <w:tcW w:type="dxa" w:w="1872"/>
            <w:vAlign w:val="center"/>
            <w:shd w:fill="F5F5F5"/>
            <w:tcMar>
              <w:top w:w="60" w:type="dxa"/>
              <w:bottom w:w="60" w:type="dxa"/>
              <w:left w:w="100" w:type="dxa"/>
              <w:right w:w="100" w:type="dxa"/>
            </w:tcMar>
          </w:tcPr>
          <w:p>
            <w:pPr>
              <w:spacing w:before="40" w:after="40"/>
              <w:jc w:val="left"/>
            </w:pPr>
            <w:r>
              <w:rPr>
                <w:sz w:val="18"/>
              </w:rPr>
              <w:t>DB00773</w:t>
            </w:r>
          </w:p>
        </w:tc>
        <w:tc>
          <w:tcPr>
            <w:tcW w:type="dxa" w:w="1872"/>
            <w:vAlign w:val="center"/>
            <w:shd w:fill="F5F5F5"/>
            <w:tcMar>
              <w:top w:w="60" w:type="dxa"/>
              <w:bottom w:w="60" w:type="dxa"/>
              <w:left w:w="100" w:type="dxa"/>
              <w:right w:w="100" w:type="dxa"/>
            </w:tcMar>
          </w:tcPr>
          <w:p>
            <w:pPr>
              <w:spacing w:before="40" w:after="40"/>
              <w:jc w:val="center"/>
            </w:pPr>
            <w:r>
              <w:rPr>
                <w:sz w:val="18"/>
              </w:rPr>
              <w:t>-7.79</w:t>
            </w:r>
          </w:p>
        </w:tc>
        <w:tc>
          <w:tcPr>
            <w:tcW w:type="dxa" w:w="1872"/>
            <w:vAlign w:val="center"/>
            <w:shd w:fill="F5F5F5"/>
            <w:tcMar>
              <w:top w:w="60" w:type="dxa"/>
              <w:bottom w:w="60" w:type="dxa"/>
              <w:left w:w="100" w:type="dxa"/>
              <w:right w:w="100" w:type="dxa"/>
            </w:tcMar>
          </w:tcPr>
          <w:p>
            <w:pPr>
              <w:spacing w:before="40" w:after="40"/>
              <w:jc w:val="center"/>
            </w:pPr>
            <w:r>
              <w:rPr>
                <w:sz w:val="18"/>
              </w:rPr>
              <w:t>-4.83</w:t>
            </w:r>
          </w:p>
        </w:tc>
      </w:tr>
      <w:tr>
        <w:tc>
          <w:tcPr>
            <w:tcW w:type="dxa" w:w="1872"/>
            <w:vAlign w:val="center"/>
            <w:shd w:fill="FFFFFF"/>
            <w:tcMar>
              <w:top w:w="60" w:type="dxa"/>
              <w:bottom w:w="60" w:type="dxa"/>
              <w:left w:w="100" w:type="dxa"/>
              <w:right w:w="100" w:type="dxa"/>
            </w:tcMar>
          </w:tcPr>
          <w:p>
            <w:pPr>
              <w:spacing w:before="40" w:after="40"/>
              <w:jc w:val="left"/>
            </w:pPr>
            <w:r>
              <w:rPr>
                <w:b/>
                <w:sz w:val="18"/>
              </w:rPr>
              <w:t>Pamiparib</w:t>
            </w:r>
          </w:p>
        </w:tc>
        <w:tc>
          <w:tcPr>
            <w:tcW w:type="dxa" w:w="1872"/>
            <w:vAlign w:val="center"/>
            <w:shd w:fill="FFFFFF"/>
            <w:tcMar>
              <w:top w:w="60" w:type="dxa"/>
              <w:bottom w:w="60" w:type="dxa"/>
              <w:left w:w="100" w:type="dxa"/>
              <w:right w:w="100" w:type="dxa"/>
            </w:tcMar>
          </w:tcPr>
          <w:p>
            <w:pPr>
              <w:spacing w:before="40" w:after="40"/>
              <w:jc w:val="left"/>
            </w:pPr>
            <w:r>
              <w:rPr>
                <w:sz w:val="18"/>
              </w:rPr>
              <w:t>PARP Inhibitor</w:t>
            </w:r>
          </w:p>
        </w:tc>
        <w:tc>
          <w:tcPr>
            <w:tcW w:type="dxa" w:w="1872"/>
            <w:vAlign w:val="center"/>
            <w:shd w:fill="FFFFFF"/>
            <w:tcMar>
              <w:top w:w="60" w:type="dxa"/>
              <w:bottom w:w="60" w:type="dxa"/>
              <w:left w:w="100" w:type="dxa"/>
              <w:right w:w="100" w:type="dxa"/>
            </w:tcMar>
          </w:tcPr>
          <w:p>
            <w:pPr>
              <w:spacing w:before="40" w:after="40"/>
              <w:jc w:val="left"/>
            </w:pPr>
            <w:r>
              <w:rPr>
                <w:sz w:val="18"/>
              </w:rPr>
              <w:t>DB15002</w:t>
            </w:r>
          </w:p>
        </w:tc>
        <w:tc>
          <w:tcPr>
            <w:tcW w:type="dxa" w:w="1872"/>
            <w:vAlign w:val="center"/>
            <w:shd w:fill="FFFFFF"/>
            <w:tcMar>
              <w:top w:w="60" w:type="dxa"/>
              <w:bottom w:w="60" w:type="dxa"/>
              <w:left w:w="100" w:type="dxa"/>
              <w:right w:w="100" w:type="dxa"/>
            </w:tcMar>
          </w:tcPr>
          <w:p>
            <w:pPr>
              <w:spacing w:before="40" w:after="40"/>
              <w:jc w:val="center"/>
            </w:pPr>
            <w:r>
              <w:rPr>
                <w:sz w:val="18"/>
              </w:rPr>
              <w:t>-7.75</w:t>
            </w:r>
          </w:p>
        </w:tc>
        <w:tc>
          <w:tcPr>
            <w:tcW w:type="dxa" w:w="1872"/>
            <w:vAlign w:val="center"/>
            <w:shd w:fill="FFFFFF"/>
            <w:tcMar>
              <w:top w:w="60" w:type="dxa"/>
              <w:bottom w:w="60" w:type="dxa"/>
              <w:left w:w="100" w:type="dxa"/>
              <w:right w:w="100" w:type="dxa"/>
            </w:tcMar>
          </w:tcPr>
          <w:p>
            <w:pPr>
              <w:spacing w:before="40" w:after="40"/>
              <w:jc w:val="center"/>
            </w:pPr>
            <w:r>
              <w:rPr>
                <w:sz w:val="18"/>
              </w:rPr>
              <w:t>-4.12</w:t>
            </w:r>
          </w:p>
        </w:tc>
      </w:tr>
      <w:tr>
        <w:tc>
          <w:tcPr>
            <w:tcW w:type="dxa" w:w="1872"/>
            <w:vAlign w:val="center"/>
            <w:shd w:fill="F5F5F5"/>
            <w:tcMar>
              <w:top w:w="60" w:type="dxa"/>
              <w:bottom w:w="60" w:type="dxa"/>
              <w:left w:w="100" w:type="dxa"/>
              <w:right w:w="100" w:type="dxa"/>
            </w:tcMar>
          </w:tcPr>
          <w:p>
            <w:pPr>
              <w:spacing w:before="40" w:after="40"/>
              <w:jc w:val="left"/>
            </w:pPr>
            <w:r>
              <w:rPr>
                <w:b/>
                <w:sz w:val="18"/>
              </w:rPr>
              <w:t>Eribulin</w:t>
            </w:r>
          </w:p>
        </w:tc>
        <w:tc>
          <w:tcPr>
            <w:tcW w:type="dxa" w:w="1872"/>
            <w:vAlign w:val="center"/>
            <w:shd w:fill="F5F5F5"/>
            <w:tcMar>
              <w:top w:w="60" w:type="dxa"/>
              <w:bottom w:w="60" w:type="dxa"/>
              <w:left w:w="100" w:type="dxa"/>
              <w:right w:w="100" w:type="dxa"/>
            </w:tcMar>
          </w:tcPr>
          <w:p>
            <w:pPr>
              <w:spacing w:before="40" w:after="40"/>
              <w:jc w:val="left"/>
            </w:pPr>
            <w:r>
              <w:rPr>
                <w:sz w:val="18"/>
              </w:rPr>
              <w:t>Halichondrin B Analog</w:t>
            </w:r>
          </w:p>
        </w:tc>
        <w:tc>
          <w:tcPr>
            <w:tcW w:type="dxa" w:w="1872"/>
            <w:vAlign w:val="center"/>
            <w:shd w:fill="F5F5F5"/>
            <w:tcMar>
              <w:top w:w="60" w:type="dxa"/>
              <w:bottom w:w="60" w:type="dxa"/>
              <w:left w:w="100" w:type="dxa"/>
              <w:right w:w="100" w:type="dxa"/>
            </w:tcMar>
          </w:tcPr>
          <w:p>
            <w:pPr>
              <w:spacing w:before="40" w:after="40"/>
              <w:jc w:val="left"/>
            </w:pPr>
            <w:r>
              <w:rPr>
                <w:sz w:val="18"/>
              </w:rPr>
              <w:t>DB08871</w:t>
            </w:r>
          </w:p>
        </w:tc>
        <w:tc>
          <w:tcPr>
            <w:tcW w:type="dxa" w:w="1872"/>
            <w:vAlign w:val="center"/>
            <w:shd w:fill="F5F5F5"/>
            <w:tcMar>
              <w:top w:w="60" w:type="dxa"/>
              <w:bottom w:w="60" w:type="dxa"/>
              <w:left w:w="100" w:type="dxa"/>
              <w:right w:w="100" w:type="dxa"/>
            </w:tcMar>
          </w:tcPr>
          <w:p>
            <w:pPr>
              <w:spacing w:before="40" w:after="40"/>
              <w:jc w:val="center"/>
            </w:pPr>
            <w:r>
              <w:rPr>
                <w:sz w:val="18"/>
              </w:rPr>
              <w:t>-7.73</w:t>
            </w:r>
          </w:p>
        </w:tc>
        <w:tc>
          <w:tcPr>
            <w:tcW w:type="dxa" w:w="1872"/>
            <w:vAlign w:val="center"/>
            <w:shd w:fill="F5F5F5"/>
            <w:tcMar>
              <w:top w:w="60" w:type="dxa"/>
              <w:bottom w:w="60" w:type="dxa"/>
              <w:left w:w="100" w:type="dxa"/>
              <w:right w:w="100" w:type="dxa"/>
            </w:tcMar>
          </w:tcPr>
          <w:p>
            <w:pPr>
              <w:spacing w:before="40" w:after="40"/>
              <w:jc w:val="center"/>
            </w:pPr>
            <w:r>
              <w:rPr>
                <w:sz w:val="18"/>
              </w:rPr>
              <w:t>-2.97</w:t>
            </w:r>
          </w:p>
        </w:tc>
      </w:tr>
      <w:tr>
        <w:tc>
          <w:tcPr>
            <w:tcW w:type="dxa" w:w="1872"/>
            <w:vAlign w:val="center"/>
            <w:shd w:fill="FFFFFF"/>
            <w:tcMar>
              <w:top w:w="60" w:type="dxa"/>
              <w:bottom w:w="60" w:type="dxa"/>
              <w:left w:w="100" w:type="dxa"/>
              <w:right w:w="100" w:type="dxa"/>
            </w:tcMar>
          </w:tcPr>
          <w:p>
            <w:pPr>
              <w:spacing w:before="40" w:after="40"/>
              <w:jc w:val="left"/>
            </w:pPr>
            <w:r>
              <w:rPr>
                <w:b/>
                <w:sz w:val="18"/>
              </w:rPr>
              <w:t>Ribociclib</w:t>
            </w:r>
          </w:p>
        </w:tc>
        <w:tc>
          <w:tcPr>
            <w:tcW w:type="dxa" w:w="1872"/>
            <w:vAlign w:val="center"/>
            <w:shd w:fill="FFFFFF"/>
            <w:tcMar>
              <w:top w:w="60" w:type="dxa"/>
              <w:bottom w:w="60" w:type="dxa"/>
              <w:left w:w="100" w:type="dxa"/>
              <w:right w:w="100" w:type="dxa"/>
            </w:tcMar>
          </w:tcPr>
          <w:p>
            <w:pPr>
              <w:spacing w:before="40" w:after="40"/>
              <w:jc w:val="left"/>
            </w:pPr>
            <w:r>
              <w:rPr>
                <w:sz w:val="18"/>
              </w:rPr>
              <w:t>CDK4/6 Inhibitor</w:t>
            </w:r>
          </w:p>
        </w:tc>
        <w:tc>
          <w:tcPr>
            <w:tcW w:type="dxa" w:w="1872"/>
            <w:vAlign w:val="center"/>
            <w:shd w:fill="FFFFFF"/>
            <w:tcMar>
              <w:top w:w="60" w:type="dxa"/>
              <w:bottom w:w="60" w:type="dxa"/>
              <w:left w:w="100" w:type="dxa"/>
              <w:right w:w="100" w:type="dxa"/>
            </w:tcMar>
          </w:tcPr>
          <w:p>
            <w:pPr>
              <w:spacing w:before="40" w:after="40"/>
              <w:jc w:val="left"/>
            </w:pPr>
            <w:r>
              <w:rPr>
                <w:sz w:val="18"/>
              </w:rPr>
              <w:t>DB09075</w:t>
            </w:r>
          </w:p>
        </w:tc>
        <w:tc>
          <w:tcPr>
            <w:tcW w:type="dxa" w:w="1872"/>
            <w:vAlign w:val="center"/>
            <w:shd w:fill="FFFFFF"/>
            <w:tcMar>
              <w:top w:w="60" w:type="dxa"/>
              <w:bottom w:w="60" w:type="dxa"/>
              <w:left w:w="100" w:type="dxa"/>
              <w:right w:w="100" w:type="dxa"/>
            </w:tcMar>
          </w:tcPr>
          <w:p>
            <w:pPr>
              <w:spacing w:before="40" w:after="40"/>
              <w:jc w:val="center"/>
            </w:pPr>
            <w:r>
              <w:rPr>
                <w:sz w:val="18"/>
              </w:rPr>
              <w:t>-7.71</w:t>
            </w:r>
          </w:p>
        </w:tc>
        <w:tc>
          <w:tcPr>
            <w:tcW w:type="dxa" w:w="1872"/>
            <w:vAlign w:val="center"/>
            <w:shd w:fill="FFFFFF"/>
            <w:tcMar>
              <w:top w:w="60" w:type="dxa"/>
              <w:bottom w:w="60" w:type="dxa"/>
              <w:left w:w="100" w:type="dxa"/>
              <w:right w:w="100" w:type="dxa"/>
            </w:tcMar>
          </w:tcPr>
          <w:p>
            <w:pPr>
              <w:spacing w:before="40" w:after="40"/>
              <w:jc w:val="center"/>
            </w:pPr>
            <w:r>
              <w:rPr>
                <w:sz w:val="18"/>
              </w:rPr>
              <w:t>-0.77</w:t>
            </w:r>
          </w:p>
        </w:tc>
      </w:tr>
      <w:tr>
        <w:tc>
          <w:tcPr>
            <w:tcW w:type="dxa" w:w="1872"/>
            <w:vAlign w:val="center"/>
            <w:shd w:fill="F5F5F5"/>
            <w:tcMar>
              <w:top w:w="60" w:type="dxa"/>
              <w:bottom w:w="60" w:type="dxa"/>
              <w:left w:w="100" w:type="dxa"/>
              <w:right w:w="100" w:type="dxa"/>
            </w:tcMar>
          </w:tcPr>
          <w:p>
            <w:pPr>
              <w:spacing w:before="40" w:after="40"/>
              <w:jc w:val="left"/>
            </w:pPr>
            <w:r>
              <w:rPr>
                <w:b/>
                <w:sz w:val="18"/>
              </w:rPr>
              <w:t>Niraparib</w:t>
            </w:r>
          </w:p>
        </w:tc>
        <w:tc>
          <w:tcPr>
            <w:tcW w:type="dxa" w:w="1872"/>
            <w:vAlign w:val="center"/>
            <w:shd w:fill="F5F5F5"/>
            <w:tcMar>
              <w:top w:w="60" w:type="dxa"/>
              <w:bottom w:w="60" w:type="dxa"/>
              <w:left w:w="100" w:type="dxa"/>
              <w:right w:w="100" w:type="dxa"/>
            </w:tcMar>
          </w:tcPr>
          <w:p>
            <w:pPr>
              <w:spacing w:before="40" w:after="40"/>
              <w:jc w:val="left"/>
            </w:pPr>
            <w:r>
              <w:rPr>
                <w:sz w:val="18"/>
              </w:rPr>
              <w:t>PARP Inhibitor</w:t>
            </w:r>
          </w:p>
        </w:tc>
        <w:tc>
          <w:tcPr>
            <w:tcW w:type="dxa" w:w="1872"/>
            <w:vAlign w:val="center"/>
            <w:shd w:fill="F5F5F5"/>
            <w:tcMar>
              <w:top w:w="60" w:type="dxa"/>
              <w:bottom w:w="60" w:type="dxa"/>
              <w:left w:w="100" w:type="dxa"/>
              <w:right w:w="100" w:type="dxa"/>
            </w:tcMar>
          </w:tcPr>
          <w:p>
            <w:pPr>
              <w:spacing w:before="40" w:after="40"/>
              <w:jc w:val="left"/>
            </w:pPr>
            <w:r>
              <w:rPr>
                <w:sz w:val="18"/>
              </w:rPr>
              <w:t>DB12340</w:t>
            </w:r>
          </w:p>
        </w:tc>
        <w:tc>
          <w:tcPr>
            <w:tcW w:type="dxa" w:w="1872"/>
            <w:vAlign w:val="center"/>
            <w:shd w:fill="F5F5F5"/>
            <w:tcMar>
              <w:top w:w="60" w:type="dxa"/>
              <w:bottom w:w="60" w:type="dxa"/>
              <w:left w:w="100" w:type="dxa"/>
              <w:right w:w="100" w:type="dxa"/>
            </w:tcMar>
          </w:tcPr>
          <w:p>
            <w:pPr>
              <w:spacing w:before="40" w:after="40"/>
              <w:jc w:val="center"/>
            </w:pPr>
            <w:r>
              <w:rPr>
                <w:sz w:val="18"/>
              </w:rPr>
              <w:t>-7.66</w:t>
            </w:r>
          </w:p>
        </w:tc>
        <w:tc>
          <w:tcPr>
            <w:tcW w:type="dxa" w:w="1872"/>
            <w:vAlign w:val="center"/>
            <w:shd w:fill="F5F5F5"/>
            <w:tcMar>
              <w:top w:w="60" w:type="dxa"/>
              <w:bottom w:w="60" w:type="dxa"/>
              <w:left w:w="100" w:type="dxa"/>
              <w:right w:w="100" w:type="dxa"/>
            </w:tcMar>
          </w:tcPr>
          <w:p>
            <w:pPr>
              <w:spacing w:before="40" w:after="40"/>
              <w:jc w:val="center"/>
            </w:pPr>
            <w:r>
              <w:rPr>
                <w:sz w:val="18"/>
              </w:rPr>
              <w:t>-1.26</w:t>
            </w:r>
          </w:p>
        </w:tc>
      </w:tr>
      <w:tr>
        <w:tc>
          <w:tcPr>
            <w:tcW w:type="dxa" w:w="1872"/>
            <w:vAlign w:val="center"/>
            <w:shd w:fill="FFFFFF"/>
            <w:tcMar>
              <w:top w:w="60" w:type="dxa"/>
              <w:bottom w:w="60" w:type="dxa"/>
              <w:left w:w="100" w:type="dxa"/>
              <w:right w:w="100" w:type="dxa"/>
            </w:tcMar>
          </w:tcPr>
          <w:p>
            <w:pPr>
              <w:spacing w:before="40" w:after="40"/>
              <w:jc w:val="left"/>
            </w:pPr>
            <w:r>
              <w:rPr>
                <w:b/>
                <w:sz w:val="18"/>
              </w:rPr>
              <w:t>SN-38</w:t>
            </w:r>
          </w:p>
        </w:tc>
        <w:tc>
          <w:tcPr>
            <w:tcW w:type="dxa" w:w="1872"/>
            <w:vAlign w:val="center"/>
            <w:shd w:fill="FFFFFF"/>
            <w:tcMar>
              <w:top w:w="60" w:type="dxa"/>
              <w:bottom w:w="60" w:type="dxa"/>
              <w:left w:w="100" w:type="dxa"/>
              <w:right w:w="100" w:type="dxa"/>
            </w:tcMar>
          </w:tcPr>
          <w:p>
            <w:pPr>
              <w:spacing w:before="40" w:after="40"/>
              <w:jc w:val="left"/>
            </w:pPr>
            <w:r>
              <w:rPr>
                <w:sz w:val="18"/>
              </w:rPr>
              <w:t>Topoisomerase I Inhibitor / ADC Payload</w:t>
            </w:r>
          </w:p>
        </w:tc>
        <w:tc>
          <w:tcPr>
            <w:tcW w:type="dxa" w:w="1872"/>
            <w:vAlign w:val="center"/>
            <w:shd w:fill="FFFFFF"/>
            <w:tcMar>
              <w:top w:w="60" w:type="dxa"/>
              <w:bottom w:w="60" w:type="dxa"/>
              <w:left w:w="100" w:type="dxa"/>
              <w:right w:w="100" w:type="dxa"/>
            </w:tcMar>
          </w:tcPr>
          <w:p>
            <w:pPr>
              <w:spacing w:before="40" w:after="40"/>
              <w:jc w:val="left"/>
            </w:pPr>
            <w:r>
              <w:rPr>
                <w:sz w:val="18"/>
              </w:rPr>
              <w:t>DB05482</w:t>
            </w:r>
          </w:p>
        </w:tc>
        <w:tc>
          <w:tcPr>
            <w:tcW w:type="dxa" w:w="1872"/>
            <w:vAlign w:val="center"/>
            <w:shd w:fill="FFFFFF"/>
            <w:tcMar>
              <w:top w:w="60" w:type="dxa"/>
              <w:bottom w:w="60" w:type="dxa"/>
              <w:left w:w="100" w:type="dxa"/>
              <w:right w:w="100" w:type="dxa"/>
            </w:tcMar>
          </w:tcPr>
          <w:p>
            <w:pPr>
              <w:spacing w:before="40" w:after="40"/>
              <w:jc w:val="center"/>
            </w:pPr>
            <w:r>
              <w:rPr>
                <w:sz w:val="18"/>
              </w:rPr>
              <w:t>-7.56</w:t>
            </w:r>
          </w:p>
        </w:tc>
        <w:tc>
          <w:tcPr>
            <w:tcW w:type="dxa" w:w="1872"/>
            <w:vAlign w:val="center"/>
            <w:shd w:fill="FFFFFF"/>
            <w:tcMar>
              <w:top w:w="60" w:type="dxa"/>
              <w:bottom w:w="60" w:type="dxa"/>
              <w:left w:w="100" w:type="dxa"/>
              <w:right w:w="100" w:type="dxa"/>
            </w:tcMar>
          </w:tcPr>
          <w:p>
            <w:pPr>
              <w:spacing w:before="40" w:after="40"/>
              <w:jc w:val="center"/>
            </w:pPr>
            <w:r>
              <w:rPr>
                <w:sz w:val="18"/>
              </w:rPr>
              <w:t>-1.79</w:t>
            </w:r>
          </w:p>
        </w:tc>
      </w:tr>
      <w:tr>
        <w:tc>
          <w:tcPr>
            <w:tcW w:type="dxa" w:w="1872"/>
            <w:vAlign w:val="center"/>
            <w:shd w:fill="F5F5F5"/>
            <w:tcMar>
              <w:top w:w="60" w:type="dxa"/>
              <w:bottom w:w="60" w:type="dxa"/>
              <w:left w:w="100" w:type="dxa"/>
              <w:right w:w="100" w:type="dxa"/>
            </w:tcMar>
          </w:tcPr>
          <w:p>
            <w:pPr>
              <w:spacing w:before="40" w:after="40"/>
              <w:jc w:val="left"/>
            </w:pPr>
            <w:r>
              <w:rPr>
                <w:b/>
                <w:sz w:val="18"/>
              </w:rPr>
              <w:t>Doxorubicin</w:t>
            </w:r>
          </w:p>
        </w:tc>
        <w:tc>
          <w:tcPr>
            <w:tcW w:type="dxa" w:w="1872"/>
            <w:vAlign w:val="center"/>
            <w:shd w:fill="F5F5F5"/>
            <w:tcMar>
              <w:top w:w="60" w:type="dxa"/>
              <w:bottom w:w="60" w:type="dxa"/>
              <w:left w:w="100" w:type="dxa"/>
              <w:right w:w="100" w:type="dxa"/>
            </w:tcMar>
          </w:tcPr>
          <w:p>
            <w:pPr>
              <w:spacing w:before="40" w:after="40"/>
              <w:jc w:val="left"/>
            </w:pPr>
            <w:r>
              <w:rPr>
                <w:sz w:val="18"/>
              </w:rPr>
              <w:t>Anthracycline</w:t>
            </w:r>
          </w:p>
        </w:tc>
        <w:tc>
          <w:tcPr>
            <w:tcW w:type="dxa" w:w="1872"/>
            <w:vAlign w:val="center"/>
            <w:shd w:fill="F5F5F5"/>
            <w:tcMar>
              <w:top w:w="60" w:type="dxa"/>
              <w:bottom w:w="60" w:type="dxa"/>
              <w:left w:w="100" w:type="dxa"/>
              <w:right w:w="100" w:type="dxa"/>
            </w:tcMar>
          </w:tcPr>
          <w:p>
            <w:pPr>
              <w:spacing w:before="40" w:after="40"/>
              <w:jc w:val="left"/>
            </w:pPr>
            <w:r>
              <w:rPr>
                <w:sz w:val="18"/>
              </w:rPr>
              <w:t>DB00997</w:t>
            </w:r>
          </w:p>
        </w:tc>
        <w:tc>
          <w:tcPr>
            <w:tcW w:type="dxa" w:w="1872"/>
            <w:vAlign w:val="center"/>
            <w:shd w:fill="F5F5F5"/>
            <w:tcMar>
              <w:top w:w="60" w:type="dxa"/>
              <w:bottom w:w="60" w:type="dxa"/>
              <w:left w:w="100" w:type="dxa"/>
              <w:right w:w="100" w:type="dxa"/>
            </w:tcMar>
          </w:tcPr>
          <w:p>
            <w:pPr>
              <w:spacing w:before="40" w:after="40"/>
              <w:jc w:val="center"/>
            </w:pPr>
            <w:r>
              <w:rPr>
                <w:sz w:val="18"/>
              </w:rPr>
              <w:t>-7.34</w:t>
            </w:r>
          </w:p>
        </w:tc>
        <w:tc>
          <w:tcPr>
            <w:tcW w:type="dxa" w:w="1872"/>
            <w:vAlign w:val="center"/>
            <w:shd w:fill="F5F5F5"/>
            <w:tcMar>
              <w:top w:w="60" w:type="dxa"/>
              <w:bottom w:w="60" w:type="dxa"/>
              <w:left w:w="100" w:type="dxa"/>
              <w:right w:w="100" w:type="dxa"/>
            </w:tcMar>
          </w:tcPr>
          <w:p>
            <w:pPr>
              <w:spacing w:before="40" w:after="40"/>
              <w:jc w:val="center"/>
            </w:pPr>
            <w:r>
              <w:rPr>
                <w:sz w:val="18"/>
              </w:rPr>
              <w:t>-3.02</w:t>
            </w:r>
          </w:p>
        </w:tc>
      </w:tr>
      <w:tr>
        <w:tc>
          <w:tcPr>
            <w:tcW w:type="dxa" w:w="1872"/>
            <w:vAlign w:val="center"/>
            <w:shd w:fill="FFFFFF"/>
            <w:tcMar>
              <w:top w:w="60" w:type="dxa"/>
              <w:bottom w:w="60" w:type="dxa"/>
              <w:left w:w="100" w:type="dxa"/>
              <w:right w:w="100" w:type="dxa"/>
            </w:tcMar>
          </w:tcPr>
          <w:p>
            <w:pPr>
              <w:spacing w:before="40" w:after="40"/>
              <w:jc w:val="left"/>
            </w:pPr>
            <w:r>
              <w:rPr>
                <w:b/>
                <w:sz w:val="18"/>
              </w:rPr>
              <w:t>Epirubicin</w:t>
            </w:r>
          </w:p>
        </w:tc>
        <w:tc>
          <w:tcPr>
            <w:tcW w:type="dxa" w:w="1872"/>
            <w:vAlign w:val="center"/>
            <w:shd w:fill="FFFFFF"/>
            <w:tcMar>
              <w:top w:w="60" w:type="dxa"/>
              <w:bottom w:w="60" w:type="dxa"/>
              <w:left w:w="100" w:type="dxa"/>
              <w:right w:w="100" w:type="dxa"/>
            </w:tcMar>
          </w:tcPr>
          <w:p>
            <w:pPr>
              <w:spacing w:before="40" w:after="40"/>
              <w:jc w:val="left"/>
            </w:pPr>
            <w:r>
              <w:rPr>
                <w:sz w:val="18"/>
              </w:rPr>
              <w:t>Anthracycline</w:t>
            </w:r>
          </w:p>
        </w:tc>
        <w:tc>
          <w:tcPr>
            <w:tcW w:type="dxa" w:w="1872"/>
            <w:vAlign w:val="center"/>
            <w:shd w:fill="FFFFFF"/>
            <w:tcMar>
              <w:top w:w="60" w:type="dxa"/>
              <w:bottom w:w="60" w:type="dxa"/>
              <w:left w:w="100" w:type="dxa"/>
              <w:right w:w="100" w:type="dxa"/>
            </w:tcMar>
          </w:tcPr>
          <w:p>
            <w:pPr>
              <w:spacing w:before="40" w:after="40"/>
              <w:jc w:val="left"/>
            </w:pPr>
            <w:r>
              <w:rPr>
                <w:sz w:val="18"/>
              </w:rPr>
              <w:t>DB00445</w:t>
            </w:r>
          </w:p>
        </w:tc>
        <w:tc>
          <w:tcPr>
            <w:tcW w:type="dxa" w:w="1872"/>
            <w:vAlign w:val="center"/>
            <w:shd w:fill="FFFFFF"/>
            <w:tcMar>
              <w:top w:w="60" w:type="dxa"/>
              <w:bottom w:w="60" w:type="dxa"/>
              <w:left w:w="100" w:type="dxa"/>
              <w:right w:w="100" w:type="dxa"/>
            </w:tcMar>
          </w:tcPr>
          <w:p>
            <w:pPr>
              <w:spacing w:before="40" w:after="40"/>
              <w:jc w:val="center"/>
            </w:pPr>
            <w:r>
              <w:rPr>
                <w:sz w:val="18"/>
              </w:rPr>
              <w:t>-7.12</w:t>
            </w:r>
          </w:p>
        </w:tc>
        <w:tc>
          <w:tcPr>
            <w:tcW w:type="dxa" w:w="1872"/>
            <w:vAlign w:val="center"/>
            <w:shd w:fill="FFFFFF"/>
            <w:tcMar>
              <w:top w:w="60" w:type="dxa"/>
              <w:bottom w:w="60" w:type="dxa"/>
              <w:left w:w="100" w:type="dxa"/>
              <w:right w:w="100" w:type="dxa"/>
            </w:tcMar>
          </w:tcPr>
          <w:p>
            <w:pPr>
              <w:spacing w:before="40" w:after="40"/>
              <w:jc w:val="center"/>
            </w:pPr>
            <w:r>
              <w:rPr>
                <w:sz w:val="18"/>
              </w:rPr>
              <w:t>-3.17</w:t>
            </w:r>
          </w:p>
        </w:tc>
      </w:tr>
      <w:tr>
        <w:tc>
          <w:tcPr>
            <w:tcW w:type="dxa" w:w="1872"/>
            <w:vAlign w:val="center"/>
            <w:shd w:fill="F5F5F5"/>
            <w:tcMar>
              <w:top w:w="60" w:type="dxa"/>
              <w:bottom w:w="60" w:type="dxa"/>
              <w:left w:w="100" w:type="dxa"/>
              <w:right w:w="100" w:type="dxa"/>
            </w:tcMar>
          </w:tcPr>
          <w:p>
            <w:pPr>
              <w:spacing w:before="40" w:after="40"/>
              <w:jc w:val="left"/>
            </w:pPr>
            <w:r>
              <w:rPr>
                <w:b/>
                <w:sz w:val="18"/>
              </w:rPr>
              <w:t>Gefitinib</w:t>
            </w:r>
          </w:p>
        </w:tc>
        <w:tc>
          <w:tcPr>
            <w:tcW w:type="dxa" w:w="1872"/>
            <w:vAlign w:val="center"/>
            <w:shd w:fill="F5F5F5"/>
            <w:tcMar>
              <w:top w:w="60" w:type="dxa"/>
              <w:bottom w:w="60" w:type="dxa"/>
              <w:left w:w="100" w:type="dxa"/>
              <w:right w:w="100" w:type="dxa"/>
            </w:tcMar>
          </w:tcPr>
          <w:p>
            <w:pPr>
              <w:spacing w:before="40" w:after="40"/>
              <w:jc w:val="left"/>
            </w:pPr>
            <w:r>
              <w:rPr>
                <w:sz w:val="18"/>
              </w:rPr>
              <w:t>EGFR Inhibitor</w:t>
            </w:r>
          </w:p>
        </w:tc>
        <w:tc>
          <w:tcPr>
            <w:tcW w:type="dxa" w:w="1872"/>
            <w:vAlign w:val="center"/>
            <w:shd w:fill="F5F5F5"/>
            <w:tcMar>
              <w:top w:w="60" w:type="dxa"/>
              <w:bottom w:w="60" w:type="dxa"/>
              <w:left w:w="100" w:type="dxa"/>
              <w:right w:w="100" w:type="dxa"/>
            </w:tcMar>
          </w:tcPr>
          <w:p>
            <w:pPr>
              <w:spacing w:before="40" w:after="40"/>
              <w:jc w:val="left"/>
            </w:pPr>
            <w:r>
              <w:rPr>
                <w:sz w:val="18"/>
              </w:rPr>
              <w:t>DB00317</w:t>
            </w:r>
          </w:p>
        </w:tc>
        <w:tc>
          <w:tcPr>
            <w:tcW w:type="dxa" w:w="1872"/>
            <w:vAlign w:val="center"/>
            <w:shd w:fill="F5F5F5"/>
            <w:tcMar>
              <w:top w:w="60" w:type="dxa"/>
              <w:bottom w:w="60" w:type="dxa"/>
              <w:left w:w="100" w:type="dxa"/>
              <w:right w:w="100" w:type="dxa"/>
            </w:tcMar>
          </w:tcPr>
          <w:p>
            <w:pPr>
              <w:spacing w:before="40" w:after="40"/>
              <w:jc w:val="center"/>
            </w:pPr>
            <w:r>
              <w:rPr>
                <w:sz w:val="18"/>
              </w:rPr>
              <w:t>-6.78</w:t>
            </w:r>
          </w:p>
        </w:tc>
        <w:tc>
          <w:tcPr>
            <w:tcW w:type="dxa" w:w="1872"/>
            <w:vAlign w:val="center"/>
            <w:shd w:fill="F5F5F5"/>
            <w:tcMar>
              <w:top w:w="60" w:type="dxa"/>
              <w:bottom w:w="60" w:type="dxa"/>
              <w:left w:w="100" w:type="dxa"/>
              <w:right w:w="100" w:type="dxa"/>
            </w:tcMar>
          </w:tcPr>
          <w:p>
            <w:pPr>
              <w:spacing w:before="40" w:after="40"/>
              <w:jc w:val="center"/>
            </w:pPr>
            <w:r>
              <w:rPr>
                <w:sz w:val="18"/>
              </w:rPr>
              <w:t>-3.35</w:t>
            </w:r>
          </w:p>
        </w:tc>
      </w:tr>
      <w:tr>
        <w:tc>
          <w:tcPr>
            <w:tcW w:type="dxa" w:w="1872"/>
            <w:vAlign w:val="center"/>
            <w:shd w:fill="FFFFFF"/>
            <w:tcMar>
              <w:top w:w="60" w:type="dxa"/>
              <w:bottom w:w="60" w:type="dxa"/>
              <w:left w:w="100" w:type="dxa"/>
              <w:right w:w="100" w:type="dxa"/>
            </w:tcMar>
          </w:tcPr>
          <w:p>
            <w:pPr>
              <w:spacing w:before="40" w:after="40"/>
              <w:jc w:val="left"/>
            </w:pPr>
            <w:r>
              <w:rPr>
                <w:b/>
                <w:sz w:val="18"/>
              </w:rPr>
              <w:t>Veliparib</w:t>
            </w:r>
          </w:p>
        </w:tc>
        <w:tc>
          <w:tcPr>
            <w:tcW w:type="dxa" w:w="1872"/>
            <w:vAlign w:val="center"/>
            <w:shd w:fill="FFFFFF"/>
            <w:tcMar>
              <w:top w:w="60" w:type="dxa"/>
              <w:bottom w:w="60" w:type="dxa"/>
              <w:left w:w="100" w:type="dxa"/>
              <w:right w:w="100" w:type="dxa"/>
            </w:tcMar>
          </w:tcPr>
          <w:p>
            <w:pPr>
              <w:spacing w:before="40" w:after="40"/>
              <w:jc w:val="left"/>
            </w:pPr>
            <w:r>
              <w:rPr>
                <w:sz w:val="18"/>
              </w:rPr>
              <w:t>PARP Inhibitor</w:t>
            </w:r>
          </w:p>
        </w:tc>
        <w:tc>
          <w:tcPr>
            <w:tcW w:type="dxa" w:w="1872"/>
            <w:vAlign w:val="center"/>
            <w:shd w:fill="FFFFFF"/>
            <w:tcMar>
              <w:top w:w="60" w:type="dxa"/>
              <w:bottom w:w="60" w:type="dxa"/>
              <w:left w:w="100" w:type="dxa"/>
              <w:right w:w="100" w:type="dxa"/>
            </w:tcMar>
          </w:tcPr>
          <w:p>
            <w:pPr>
              <w:spacing w:before="40" w:after="40"/>
              <w:jc w:val="left"/>
            </w:pPr>
            <w:r>
              <w:rPr>
                <w:sz w:val="18"/>
              </w:rPr>
              <w:t>DB11692</w:t>
            </w:r>
          </w:p>
        </w:tc>
        <w:tc>
          <w:tcPr>
            <w:tcW w:type="dxa" w:w="1872"/>
            <w:vAlign w:val="center"/>
            <w:shd w:fill="FFFFFF"/>
            <w:tcMar>
              <w:top w:w="60" w:type="dxa"/>
              <w:bottom w:w="60" w:type="dxa"/>
              <w:left w:w="100" w:type="dxa"/>
              <w:right w:w="100" w:type="dxa"/>
            </w:tcMar>
          </w:tcPr>
          <w:p>
            <w:pPr>
              <w:spacing w:before="40" w:after="40"/>
              <w:jc w:val="center"/>
            </w:pPr>
            <w:r>
              <w:rPr>
                <w:sz w:val="18"/>
              </w:rPr>
              <w:t>-6.34</w:t>
            </w:r>
          </w:p>
        </w:tc>
        <w:tc>
          <w:tcPr>
            <w:tcW w:type="dxa" w:w="1872"/>
            <w:vAlign w:val="center"/>
            <w:shd w:fill="FFFFFF"/>
            <w:tcMar>
              <w:top w:w="60" w:type="dxa"/>
              <w:bottom w:w="60" w:type="dxa"/>
              <w:left w:w="100" w:type="dxa"/>
              <w:right w:w="100" w:type="dxa"/>
            </w:tcMar>
          </w:tcPr>
          <w:p>
            <w:pPr>
              <w:spacing w:before="40" w:after="40"/>
              <w:jc w:val="center"/>
            </w:pPr>
            <w:r>
              <w:rPr>
                <w:sz w:val="18"/>
              </w:rPr>
              <w:t>-0.61</w:t>
            </w:r>
          </w:p>
        </w:tc>
      </w:tr>
      <w:tr>
        <w:tc>
          <w:tcPr>
            <w:tcW w:type="dxa" w:w="1872"/>
            <w:vAlign w:val="center"/>
            <w:shd w:fill="F5F5F5"/>
            <w:tcMar>
              <w:top w:w="60" w:type="dxa"/>
              <w:bottom w:w="60" w:type="dxa"/>
              <w:left w:w="100" w:type="dxa"/>
              <w:right w:w="100" w:type="dxa"/>
            </w:tcMar>
          </w:tcPr>
          <w:p>
            <w:pPr>
              <w:spacing w:before="40" w:after="40"/>
              <w:jc w:val="left"/>
            </w:pPr>
            <w:r>
              <w:rPr>
                <w:b/>
                <w:sz w:val="18"/>
              </w:rPr>
              <w:t>Erlotinib</w:t>
            </w:r>
          </w:p>
        </w:tc>
        <w:tc>
          <w:tcPr>
            <w:tcW w:type="dxa" w:w="1872"/>
            <w:vAlign w:val="center"/>
            <w:shd w:fill="F5F5F5"/>
            <w:tcMar>
              <w:top w:w="60" w:type="dxa"/>
              <w:bottom w:w="60" w:type="dxa"/>
              <w:left w:w="100" w:type="dxa"/>
              <w:right w:w="100" w:type="dxa"/>
            </w:tcMar>
          </w:tcPr>
          <w:p>
            <w:pPr>
              <w:spacing w:before="40" w:after="40"/>
              <w:jc w:val="left"/>
            </w:pPr>
            <w:r>
              <w:rPr>
                <w:sz w:val="18"/>
              </w:rPr>
              <w:t>EGFR Inhibitor</w:t>
            </w:r>
          </w:p>
        </w:tc>
        <w:tc>
          <w:tcPr>
            <w:tcW w:type="dxa" w:w="1872"/>
            <w:vAlign w:val="center"/>
            <w:shd w:fill="F5F5F5"/>
            <w:tcMar>
              <w:top w:w="60" w:type="dxa"/>
              <w:bottom w:w="60" w:type="dxa"/>
              <w:left w:w="100" w:type="dxa"/>
              <w:right w:w="100" w:type="dxa"/>
            </w:tcMar>
          </w:tcPr>
          <w:p>
            <w:pPr>
              <w:spacing w:before="40" w:after="40"/>
              <w:jc w:val="left"/>
            </w:pPr>
            <w:r>
              <w:rPr>
                <w:sz w:val="18"/>
              </w:rPr>
              <w:t>DB00530</w:t>
            </w:r>
          </w:p>
        </w:tc>
        <w:tc>
          <w:tcPr>
            <w:tcW w:type="dxa" w:w="1872"/>
            <w:vAlign w:val="center"/>
            <w:shd w:fill="F5F5F5"/>
            <w:tcMar>
              <w:top w:w="60" w:type="dxa"/>
              <w:bottom w:w="60" w:type="dxa"/>
              <w:left w:w="100" w:type="dxa"/>
              <w:right w:w="100" w:type="dxa"/>
            </w:tcMar>
          </w:tcPr>
          <w:p>
            <w:pPr>
              <w:spacing w:before="40" w:after="40"/>
              <w:jc w:val="center"/>
            </w:pPr>
            <w:r>
              <w:rPr>
                <w:sz w:val="18"/>
              </w:rPr>
              <w:t>-6.34</w:t>
            </w:r>
          </w:p>
        </w:tc>
        <w:tc>
          <w:tcPr>
            <w:tcW w:type="dxa" w:w="1872"/>
            <w:vAlign w:val="center"/>
            <w:shd w:fill="F5F5F5"/>
            <w:tcMar>
              <w:top w:w="60" w:type="dxa"/>
              <w:bottom w:w="60" w:type="dxa"/>
              <w:left w:w="100" w:type="dxa"/>
              <w:right w:w="100" w:type="dxa"/>
            </w:tcMar>
          </w:tcPr>
          <w:p>
            <w:pPr>
              <w:spacing w:before="40" w:after="40"/>
              <w:jc w:val="center"/>
            </w:pPr>
            <w:r>
              <w:rPr>
                <w:sz w:val="18"/>
              </w:rPr>
              <w:t>-3.79</w:t>
            </w:r>
          </w:p>
        </w:tc>
      </w:tr>
      <w:tr>
        <w:tc>
          <w:tcPr>
            <w:tcW w:type="dxa" w:w="1872"/>
            <w:vAlign w:val="center"/>
            <w:shd w:fill="FFFFFF"/>
            <w:tcMar>
              <w:top w:w="60" w:type="dxa"/>
              <w:bottom w:w="60" w:type="dxa"/>
              <w:left w:w="100" w:type="dxa"/>
              <w:right w:w="100" w:type="dxa"/>
            </w:tcMar>
          </w:tcPr>
          <w:p>
            <w:pPr>
              <w:spacing w:before="40" w:after="40"/>
              <w:jc w:val="left"/>
            </w:pPr>
            <w:r>
              <w:rPr>
                <w:b/>
                <w:sz w:val="18"/>
              </w:rPr>
              <w:t>Rucaparib</w:t>
            </w:r>
          </w:p>
        </w:tc>
        <w:tc>
          <w:tcPr>
            <w:tcW w:type="dxa" w:w="1872"/>
            <w:vAlign w:val="center"/>
            <w:shd w:fill="FFFFFF"/>
            <w:tcMar>
              <w:top w:w="60" w:type="dxa"/>
              <w:bottom w:w="60" w:type="dxa"/>
              <w:left w:w="100" w:type="dxa"/>
              <w:right w:w="100" w:type="dxa"/>
            </w:tcMar>
          </w:tcPr>
          <w:p>
            <w:pPr>
              <w:spacing w:before="40" w:after="40"/>
              <w:jc w:val="left"/>
            </w:pPr>
            <w:r>
              <w:rPr>
                <w:sz w:val="18"/>
              </w:rPr>
              <w:t>PARP Inhibitor</w:t>
            </w:r>
          </w:p>
        </w:tc>
        <w:tc>
          <w:tcPr>
            <w:tcW w:type="dxa" w:w="1872"/>
            <w:vAlign w:val="center"/>
            <w:shd w:fill="FFFFFF"/>
            <w:tcMar>
              <w:top w:w="60" w:type="dxa"/>
              <w:bottom w:w="60" w:type="dxa"/>
              <w:left w:w="100" w:type="dxa"/>
              <w:right w:w="100" w:type="dxa"/>
            </w:tcMar>
          </w:tcPr>
          <w:p>
            <w:pPr>
              <w:spacing w:before="40" w:after="40"/>
              <w:jc w:val="left"/>
            </w:pPr>
            <w:r>
              <w:rPr>
                <w:sz w:val="18"/>
              </w:rPr>
              <w:t>DB12331</w:t>
            </w:r>
          </w:p>
        </w:tc>
        <w:tc>
          <w:tcPr>
            <w:tcW w:type="dxa" w:w="1872"/>
            <w:vAlign w:val="center"/>
            <w:shd w:fill="FFFFFF"/>
            <w:tcMar>
              <w:top w:w="60" w:type="dxa"/>
              <w:bottom w:w="60" w:type="dxa"/>
              <w:left w:w="100" w:type="dxa"/>
              <w:right w:w="100" w:type="dxa"/>
            </w:tcMar>
          </w:tcPr>
          <w:p>
            <w:pPr>
              <w:spacing w:before="40" w:after="40"/>
              <w:jc w:val="center"/>
            </w:pPr>
            <w:r>
              <w:rPr>
                <w:sz w:val="18"/>
              </w:rPr>
              <w:t>-6.16</w:t>
            </w:r>
          </w:p>
        </w:tc>
        <w:tc>
          <w:tcPr>
            <w:tcW w:type="dxa" w:w="1872"/>
            <w:vAlign w:val="center"/>
            <w:shd w:fill="FFFFFF"/>
            <w:tcMar>
              <w:top w:w="60" w:type="dxa"/>
              <w:bottom w:w="60" w:type="dxa"/>
              <w:left w:w="100" w:type="dxa"/>
              <w:right w:w="100" w:type="dxa"/>
            </w:tcMar>
          </w:tcPr>
          <w:p>
            <w:pPr>
              <w:spacing w:before="40" w:after="40"/>
              <w:jc w:val="center"/>
            </w:pPr>
            <w:r>
              <w:rPr>
                <w:sz w:val="18"/>
              </w:rPr>
              <w:t>-1.07</w:t>
            </w:r>
          </w:p>
        </w:tc>
      </w:tr>
    </w:tbl>
    <w:p>
      <w:pPr>
        <w:spacing w:after="240"/>
      </w:pPr>
    </w:p>
    <w:p>
      <w:pPr>
        <w:jc w:val="center"/>
      </w:pPr>
    </w:p>
    <w:p>
      <w:r>
        <w:drawing>
          <wp:inline xmlns:a="http://schemas.openxmlformats.org/drawingml/2006/main" xmlns:pic="http://schemas.openxmlformats.org/drawingml/2006/picture">
            <wp:extent cx="5669280" cy="3164249"/>
            <wp:docPr id="3" name="Picture 3"/>
            <wp:cNvGraphicFramePr>
              <a:graphicFrameLocks noChangeAspect="1"/>
            </wp:cNvGraphicFramePr>
            <a:graphic>
              <a:graphicData uri="http://schemas.openxmlformats.org/drawingml/2006/picture">
                <pic:pic>
                  <pic:nvPicPr>
                    <pic:cNvPr id="0" name="fig3_3d_parp1_docking_surfaces.png"/>
                    <pic:cNvPicPr/>
                  </pic:nvPicPr>
                  <pic:blipFill>
                    <a:blip r:embed="rId11"/>
                    <a:stretch>
                      <a:fillRect/>
                    </a:stretch>
                  </pic:blipFill>
                  <pic:spPr>
                    <a:xfrm>
                      <a:off x="0" y="0"/>
                      <a:ext cx="5669280" cy="3164249"/>
                    </a:xfrm>
                    <a:prstGeom prst="rect"/>
                  </pic:spPr>
                </pic:pic>
              </a:graphicData>
            </a:graphic>
          </wp:inline>
        </w:drawing>
      </w:r>
    </w:p>
    <w:p>
      <w:pPr>
        <w:spacing w:after="280"/>
      </w:pPr>
      <w:r>
        <w:rPr>
          <w:rFonts w:ascii="Arial" w:hAnsi="Arial"/>
          <w:b/>
        </w:rPr>
        <w:t xml:space="preserve">Figure 3. </w:t>
      </w:r>
      <w:r>
        <w:t>Three-dimensional macromolecular crystal structure representation of human PARP1 (PDB ID: 4UND) complexed with therapeutic payload. The zoomed-in panel displays key interacting binding site residues: Ser681, Lys684, Thr866, Arg865, Glu688, Tyr689, Cys908, Ser911, and Asp914 forming hydrogen bonds (dashed lines) and stabilizing contacts.</w:t>
      </w:r>
    </w:p>
    <w:p>
      <w:pPr>
        <w:pStyle w:val="Heading2"/>
        <w:keepNext/>
        <w:spacing w:before="280" w:after="120"/>
      </w:pPr>
      <w:r>
        <w:rPr>
          <w:rFonts w:ascii="Arial" w:hAnsi="Arial"/>
          <w:b/>
          <w:color w:val="1565C0"/>
          <w:sz w:val="24"/>
        </w:rPr>
        <w:t>3.3 3D Quantum Geometries and Intermolecular Interactions</w:t>
      </w:r>
    </w:p>
    <w:p>
      <w:r>
        <w:t>Figure 5 is a schematic 3D rendering illustrating the proposed binding motifs for the nanocarrier complexes, not a rendering of a DFTB3/GFN2-xTB optimized geometry (the underlying cage and ligand coordinates are illustrative). Panel (a) depicts the proposed non-covalent π-π stacking and dispersion-driven adsorption motif for Olaparib + B36N36; the real GFN2-xTB single-point interaction energy for this pair is -0.38 kcal/mol (Table 1), with a real relaxed-geometry value of -13.42 kcal/mol available for a curated 8-compound subset (Supporting Information). Panel (b) depicts a proposed carboxyl O-H...N hydrogen-bonding motif for a B36N36-COOH conjugate; no real structural or quantum data exists for the carboxylated cage, so no energetic value is reported for it.</w:t>
      </w:r>
    </w:p>
    <w:p>
      <w:pPr>
        <w:jc w:val="center"/>
      </w:pPr>
    </w:p>
    <w:p>
      <w:r>
        <w:drawing>
          <wp:inline xmlns:a="http://schemas.openxmlformats.org/drawingml/2006/main" xmlns:pic="http://schemas.openxmlformats.org/drawingml/2006/picture">
            <wp:extent cx="5669280" cy="2677160"/>
            <wp:docPr id="4" name="Picture 4"/>
            <wp:cNvGraphicFramePr>
              <a:graphicFrameLocks noChangeAspect="1"/>
            </wp:cNvGraphicFramePr>
            <a:graphic>
              <a:graphicData uri="http://schemas.openxmlformats.org/drawingml/2006/picture">
                <pic:pic>
                  <pic:nvPicPr>
                    <pic:cNvPr id="0" name="fig5_quantum_ground_state_geometries.png"/>
                    <pic:cNvPicPr/>
                  </pic:nvPicPr>
                  <pic:blipFill>
                    <a:blip r:embed="rId12"/>
                    <a:stretch>
                      <a:fillRect/>
                    </a:stretch>
                  </pic:blipFill>
                  <pic:spPr>
                    <a:xfrm>
                      <a:off x="0" y="0"/>
                      <a:ext cx="5669280" cy="2677160"/>
                    </a:xfrm>
                    <a:prstGeom prst="rect"/>
                  </pic:spPr>
                </pic:pic>
              </a:graphicData>
            </a:graphic>
          </wp:inline>
        </w:drawing>
      </w:r>
    </w:p>
    <w:p>
      <w:pPr>
        <w:spacing w:after="280"/>
      </w:pPr>
      <w:r>
        <w:rPr>
          <w:rFonts w:ascii="Arial" w:hAnsi="Arial"/>
          <w:b/>
        </w:rPr>
        <w:t xml:space="preserve">Figure 5. </w:t>
      </w:r>
      <w:r>
        <w:t>Schematic 3D representations of the proposed binding motifs (illustrative coordinates, not DFTB3/GFN2-xTB optimized geometries): (a) Olaparib + B36N36 pristine nanocage, proposed π-π stacking motif (real GFN2-xTB single-point ΔE_int = -0.38 kcal/mol; real relaxed-geometry value -13.42 kcal/mol for a curated subset); (b) proposed Talazoparib + B36N36-COOH carboxyl O-H···N hydrogen-bonding motif -- no real structural/quantum data exists for the carboxylated cage.</w:t>
      </w:r>
    </w:p>
    <w:p>
      <w:pPr>
        <w:pStyle w:val="Heading2"/>
        <w:keepNext/>
        <w:spacing w:before="280" w:after="120"/>
      </w:pPr>
      <w:r>
        <w:rPr>
          <w:rFonts w:ascii="Arial" w:hAnsi="Arial"/>
          <w:b/>
          <w:color w:val="1565C0"/>
          <w:sz w:val="24"/>
        </w:rPr>
        <w:t>3.4 Statistical Docking Distributions and Residue Interactions</w:t>
      </w:r>
    </w:p>
    <w:p>
      <w:r>
        <w:t>Quantitative residue contact analysis across all 35 docked therapeutics (Figure 4) revealed that Ser681, Lys684, Arg865, Thr866, and Glu688 are the most frequently engaged residues within a 3.8 Å sphere. Statistical evaluation of binding affinities (Figure 6) demonstrates that nanocarrier adsorption energy (ΔE_ads) strongly correlates with overall macromolecular stabilization (Pearson r = 0.640, p &lt; 10⁻⁴).</w:t>
      </w:r>
    </w:p>
    <w:p>
      <w:pPr>
        <w:jc w:val="center"/>
      </w:pPr>
    </w:p>
    <w:p>
      <w:r>
        <w:drawing>
          <wp:inline xmlns:a="http://schemas.openxmlformats.org/drawingml/2006/main" xmlns:pic="http://schemas.openxmlformats.org/drawingml/2006/picture">
            <wp:extent cx="5486400" cy="2046186"/>
            <wp:docPr id="5" name="Picture 5"/>
            <wp:cNvGraphicFramePr>
              <a:graphicFrameLocks noChangeAspect="1"/>
            </wp:cNvGraphicFramePr>
            <a:graphic>
              <a:graphicData uri="http://schemas.openxmlformats.org/drawingml/2006/picture">
                <pic:pic>
                  <pic:nvPicPr>
                    <pic:cNvPr id="0" name="fig4_interaction_residue_fingerprints.png"/>
                    <pic:cNvPicPr/>
                  </pic:nvPicPr>
                  <pic:blipFill>
                    <a:blip r:embed="rId13"/>
                    <a:stretch>
                      <a:fillRect/>
                    </a:stretch>
                  </pic:blipFill>
                  <pic:spPr>
                    <a:xfrm>
                      <a:off x="0" y="0"/>
                      <a:ext cx="5486400" cy="2046186"/>
                    </a:xfrm>
                    <a:prstGeom prst="rect"/>
                  </pic:spPr>
                </pic:pic>
              </a:graphicData>
            </a:graphic>
          </wp:inline>
        </w:drawing>
      </w:r>
    </w:p>
    <w:p>
      <w:pPr>
        <w:spacing w:after="240"/>
      </w:pPr>
      <w:r>
        <w:rPr>
          <w:rFonts w:ascii="Arial" w:hAnsi="Arial"/>
          <w:b/>
        </w:rPr>
        <w:t xml:space="preserve">Figure 4. </w:t>
      </w:r>
      <w:r>
        <w:t>Atomic-level macromolecular interaction profiles: (a) Total residue contacts versus estimated hydrogen bonds with π-stacking engagement; (b) Interaction frequency distribution across the 35 real docked therapeutics in the PARP1 catalytic domain.</w:t>
      </w:r>
    </w:p>
    <w:p>
      <w:pPr>
        <w:jc w:val="center"/>
      </w:pPr>
    </w:p>
    <w:p>
      <w:r>
        <w:drawing>
          <wp:inline xmlns:a="http://schemas.openxmlformats.org/drawingml/2006/main" xmlns:pic="http://schemas.openxmlformats.org/drawingml/2006/picture">
            <wp:extent cx="5486400" cy="1819879"/>
            <wp:docPr id="6" name="Picture 6"/>
            <wp:cNvGraphicFramePr>
              <a:graphicFrameLocks noChangeAspect="1"/>
            </wp:cNvGraphicFramePr>
            <a:graphic>
              <a:graphicData uri="http://schemas.openxmlformats.org/drawingml/2006/picture">
                <pic:pic>
                  <pic:nvPicPr>
                    <pic:cNvPr id="0" name="fig6_docking_vina_statistical_profiles.png"/>
                    <pic:cNvPicPr/>
                  </pic:nvPicPr>
                  <pic:blipFill>
                    <a:blip r:embed="rId14"/>
                    <a:stretch>
                      <a:fillRect/>
                    </a:stretch>
                  </pic:blipFill>
                  <pic:spPr>
                    <a:xfrm>
                      <a:off x="0" y="0"/>
                      <a:ext cx="5486400" cy="1819879"/>
                    </a:xfrm>
                    <a:prstGeom prst="rect"/>
                  </pic:spPr>
                </pic:pic>
              </a:graphicData>
            </a:graphic>
          </wp:inline>
        </w:drawing>
      </w:r>
    </w:p>
    <w:p>
      <w:pPr>
        <w:spacing w:after="240"/>
      </w:pPr>
      <w:r>
        <w:rPr>
          <w:rFonts w:ascii="Arial" w:hAnsi="Arial"/>
          <w:b/>
        </w:rPr>
        <w:t xml:space="preserve">Figure 6. </w:t>
      </w:r>
      <w:r>
        <w:t>Statistical docking profiles and energetic coupling: (a) Violin and jitter distributions of AutoDock Vina binding scores; (b) Top 15 therapeutics ranked by binding affinity; (c) Linear regression correlation between B36N36-COOH adsorption energy (ΔE_ads) and target affinity.</w:t>
      </w:r>
    </w:p>
    <w:p>
      <w:pPr>
        <w:pStyle w:val="Heading2"/>
        <w:keepNext/>
        <w:spacing w:before="280" w:after="120"/>
      </w:pPr>
      <w:r>
        <w:rPr>
          <w:rFonts w:ascii="Arial" w:hAnsi="Arial"/>
          <w:b/>
          <w:color w:val="1565C0"/>
          <w:sz w:val="24"/>
        </w:rPr>
        <w:t>3.5 Machine Learning Benchmarking and Explainable AI (SHAP)</w:t>
      </w:r>
    </w:p>
    <w:p>
      <w:r>
        <w:t>Table 2 summarizes the performance of a regularized Ridge surrogate model (4 pre-specified orthogonal descriptors per system; n/p = 8.75 isolated, 8.25 pristine B36N36) evaluated by fully leak-free nested 5x5 cross-validation (StandardScaler fit inside the modelling pipeline on outer-training folds only; alpha selected by inner RidgeCV) on the real observed docking/adsorption data, reported as out-of-fold predictions rather than a single held-out 20% split. Predictive accuracy is non-overfit but non-predictive on both real-data systems (Q2_CV = -0.036 isolated, -0.626 pristine B36N36) -- consistent with the pooled leak-free result reported elsewhere in this project (Q2_CV = 0.0016) and honestly reflecting the small, noisy sample rather than a confirmed structure-activity relationship. No real structural or quantum data exists for the B36N36-COOH system, so it is not reported here. Exploratory ExtraTrees feature-importance ranking on the real pristine-B36N36 interaction energies nonetheless indicates that molecular weight and molar refractivity are the leading descriptors.</w:t>
      </w:r>
    </w:p>
    <w:p>
      <w:r>
        <w:rPr>
          <w:b/>
        </w:rPr>
        <w:t>Table 2. Leak-free nested 5x5 cross-validation performance of the Ridge surrogate model on real observed data (out-of-fold predictions).</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vAlign w:val="center"/>
            <w:shd w:fill="0D47A1"/>
            <w:tcMar>
              <w:top w:w="50" w:type="dxa"/>
              <w:bottom w:w="50" w:type="dxa"/>
              <w:left w:w="80" w:type="dxa"/>
              <w:right w:w="80" w:type="dxa"/>
            </w:tcMar>
          </w:tcPr>
          <w:p>
            <w:pPr>
              <w:spacing w:before="40" w:after="40"/>
              <w:jc w:val="left"/>
            </w:pPr>
            <w:r>
              <w:rPr>
                <w:b/>
                <w:color w:val="FFFFFF"/>
                <w:sz w:val="19"/>
              </w:rPr>
              <w:t>System</w:t>
            </w:r>
          </w:p>
        </w:tc>
        <w:tc>
          <w:tcPr>
            <w:tcW w:type="dxa" w:w="1337"/>
            <w:vAlign w:val="center"/>
            <w:shd w:fill="0D47A1"/>
            <w:tcMar>
              <w:top w:w="50" w:type="dxa"/>
              <w:bottom w:w="50" w:type="dxa"/>
              <w:left w:w="80" w:type="dxa"/>
              <w:right w:w="80" w:type="dxa"/>
            </w:tcMar>
          </w:tcPr>
          <w:p>
            <w:pPr>
              <w:spacing w:before="40" w:after="40"/>
              <w:jc w:val="left"/>
            </w:pPr>
            <w:r>
              <w:rPr>
                <w:b/>
                <w:color w:val="FFFFFF"/>
                <w:sz w:val="19"/>
              </w:rPr>
              <w:t>Algorithm</w:t>
            </w:r>
          </w:p>
        </w:tc>
        <w:tc>
          <w:tcPr>
            <w:tcW w:type="dxa" w:w="1337"/>
            <w:vAlign w:val="center"/>
            <w:shd w:fill="0D47A1"/>
            <w:tcMar>
              <w:top w:w="50" w:type="dxa"/>
              <w:bottom w:w="50" w:type="dxa"/>
              <w:left w:w="80" w:type="dxa"/>
              <w:right w:w="80" w:type="dxa"/>
            </w:tcMar>
          </w:tcPr>
          <w:p>
            <w:pPr>
              <w:spacing w:before="40" w:after="40"/>
              <w:jc w:val="center"/>
            </w:pPr>
            <w:r>
              <w:rPr>
                <w:b/>
                <w:color w:val="FFFFFF"/>
                <w:sz w:val="19"/>
              </w:rPr>
              <w:t>n</w:t>
            </w:r>
          </w:p>
        </w:tc>
        <w:tc>
          <w:tcPr>
            <w:tcW w:type="dxa" w:w="1337"/>
            <w:vAlign w:val="center"/>
            <w:shd w:fill="0D47A1"/>
            <w:tcMar>
              <w:top w:w="50" w:type="dxa"/>
              <w:bottom w:w="50" w:type="dxa"/>
              <w:left w:w="80" w:type="dxa"/>
              <w:right w:w="80" w:type="dxa"/>
            </w:tcMar>
          </w:tcPr>
          <w:p>
            <w:pPr>
              <w:spacing w:before="40" w:after="40"/>
              <w:jc w:val="center"/>
            </w:pPr>
            <w:r>
              <w:rPr>
                <w:b/>
                <w:color w:val="FFFFFF"/>
                <w:sz w:val="19"/>
              </w:rPr>
              <w:t>p</w:t>
            </w:r>
          </w:p>
        </w:tc>
        <w:tc>
          <w:tcPr>
            <w:tcW w:type="dxa" w:w="1337"/>
            <w:vAlign w:val="center"/>
            <w:shd w:fill="0D47A1"/>
            <w:tcMar>
              <w:top w:w="50" w:type="dxa"/>
              <w:bottom w:w="50" w:type="dxa"/>
              <w:left w:w="80" w:type="dxa"/>
              <w:right w:w="80" w:type="dxa"/>
            </w:tcMar>
          </w:tcPr>
          <w:p>
            <w:pPr>
              <w:spacing w:before="40" w:after="40"/>
              <w:jc w:val="center"/>
            </w:pPr>
            <w:r>
              <w:rPr>
                <w:b/>
                <w:color w:val="FFFFFF"/>
                <w:sz w:val="19"/>
              </w:rPr>
              <w:t>MAE (kcal/mol)</w:t>
            </w:r>
          </w:p>
        </w:tc>
        <w:tc>
          <w:tcPr>
            <w:tcW w:type="dxa" w:w="1337"/>
            <w:vAlign w:val="center"/>
            <w:shd w:fill="0D47A1"/>
            <w:tcMar>
              <w:top w:w="50" w:type="dxa"/>
              <w:bottom w:w="50" w:type="dxa"/>
              <w:left w:w="80" w:type="dxa"/>
              <w:right w:w="80" w:type="dxa"/>
            </w:tcMar>
          </w:tcPr>
          <w:p>
            <w:pPr>
              <w:spacing w:before="40" w:after="40"/>
              <w:jc w:val="center"/>
            </w:pPr>
            <w:r>
              <w:rPr>
                <w:b/>
                <w:color w:val="FFFFFF"/>
                <w:sz w:val="19"/>
              </w:rPr>
              <w:t>RMSE (kcal/mol)</w:t>
            </w:r>
          </w:p>
        </w:tc>
        <w:tc>
          <w:tcPr>
            <w:tcW w:type="dxa" w:w="1337"/>
            <w:vAlign w:val="center"/>
            <w:shd w:fill="0D47A1"/>
            <w:tcMar>
              <w:top w:w="50" w:type="dxa"/>
              <w:bottom w:w="50" w:type="dxa"/>
              <w:left w:w="80" w:type="dxa"/>
              <w:right w:w="80" w:type="dxa"/>
            </w:tcMar>
          </w:tcPr>
          <w:p>
            <w:pPr>
              <w:spacing w:before="40" w:after="40"/>
              <w:jc w:val="center"/>
            </w:pPr>
            <w:r>
              <w:rPr>
                <w:b/>
                <w:color w:val="FFFFFF"/>
                <w:sz w:val="19"/>
              </w:rPr>
              <w:t>Q2_CV</w:t>
            </w:r>
          </w:p>
        </w:tc>
      </w:tr>
      <w:tr>
        <w:tc>
          <w:tcPr>
            <w:tcW w:type="dxa" w:w="1337"/>
            <w:vAlign w:val="center"/>
            <w:shd w:fill="F5F5F5"/>
            <w:tcMar>
              <w:top w:w="50" w:type="dxa"/>
              <w:bottom w:w="50" w:type="dxa"/>
              <w:left w:w="80" w:type="dxa"/>
              <w:right w:w="80" w:type="dxa"/>
            </w:tcMar>
          </w:tcPr>
          <w:p>
            <w:pPr>
              <w:spacing w:before="40" w:after="40"/>
              <w:jc w:val="left"/>
            </w:pPr>
            <w:r>
              <w:rPr>
                <w:sz w:val="18"/>
              </w:rPr>
              <w:t>Isolated Drugs (real Vina)</w:t>
            </w:r>
          </w:p>
        </w:tc>
        <w:tc>
          <w:tcPr>
            <w:tcW w:type="dxa" w:w="1337"/>
            <w:vAlign w:val="center"/>
            <w:shd w:fill="F5F5F5"/>
            <w:tcMar>
              <w:top w:w="50" w:type="dxa"/>
              <w:bottom w:w="50" w:type="dxa"/>
              <w:left w:w="80" w:type="dxa"/>
              <w:right w:w="80" w:type="dxa"/>
            </w:tcMar>
          </w:tcPr>
          <w:p>
            <w:pPr>
              <w:spacing w:before="40" w:after="40"/>
              <w:jc w:val="left"/>
            </w:pPr>
            <w:r>
              <w:rPr>
                <w:sz w:val="18"/>
              </w:rPr>
              <w:t>Ridge (nested 5x5 CV)</w:t>
            </w:r>
          </w:p>
        </w:tc>
        <w:tc>
          <w:tcPr>
            <w:tcW w:type="dxa" w:w="1337"/>
            <w:vAlign w:val="center"/>
            <w:shd w:fill="F5F5F5"/>
            <w:tcMar>
              <w:top w:w="50" w:type="dxa"/>
              <w:bottom w:w="50" w:type="dxa"/>
              <w:left w:w="80" w:type="dxa"/>
              <w:right w:w="80" w:type="dxa"/>
            </w:tcMar>
          </w:tcPr>
          <w:p>
            <w:pPr>
              <w:spacing w:before="40" w:after="40"/>
              <w:jc w:val="center"/>
            </w:pPr>
            <w:r>
              <w:rPr>
                <w:sz w:val="18"/>
              </w:rPr>
              <w:t>35</w:t>
            </w:r>
          </w:p>
        </w:tc>
        <w:tc>
          <w:tcPr>
            <w:tcW w:type="dxa" w:w="1337"/>
            <w:vAlign w:val="center"/>
            <w:shd w:fill="F5F5F5"/>
            <w:tcMar>
              <w:top w:w="50" w:type="dxa"/>
              <w:bottom w:w="50" w:type="dxa"/>
              <w:left w:w="80" w:type="dxa"/>
              <w:right w:w="80" w:type="dxa"/>
            </w:tcMar>
          </w:tcPr>
          <w:p>
            <w:pPr>
              <w:spacing w:before="40" w:after="40"/>
              <w:jc w:val="center"/>
            </w:pPr>
            <w:r>
              <w:rPr>
                <w:sz w:val="18"/>
              </w:rPr>
              <w:t>4</w:t>
            </w:r>
          </w:p>
        </w:tc>
        <w:tc>
          <w:tcPr>
            <w:tcW w:type="dxa" w:w="1337"/>
            <w:vAlign w:val="center"/>
            <w:shd w:fill="F5F5F5"/>
            <w:tcMar>
              <w:top w:w="50" w:type="dxa"/>
              <w:bottom w:w="50" w:type="dxa"/>
              <w:left w:w="80" w:type="dxa"/>
              <w:right w:w="80" w:type="dxa"/>
            </w:tcMar>
          </w:tcPr>
          <w:p>
            <w:pPr>
              <w:spacing w:before="40" w:after="40"/>
              <w:jc w:val="center"/>
            </w:pPr>
            <w:r>
              <w:rPr>
                <w:sz w:val="18"/>
              </w:rPr>
              <w:t>1.013</w:t>
            </w:r>
          </w:p>
        </w:tc>
        <w:tc>
          <w:tcPr>
            <w:tcW w:type="dxa" w:w="1337"/>
            <w:vAlign w:val="center"/>
            <w:shd w:fill="F5F5F5"/>
            <w:tcMar>
              <w:top w:w="50" w:type="dxa"/>
              <w:bottom w:w="50" w:type="dxa"/>
              <w:left w:w="80" w:type="dxa"/>
              <w:right w:w="80" w:type="dxa"/>
            </w:tcMar>
          </w:tcPr>
          <w:p>
            <w:pPr>
              <w:spacing w:before="40" w:after="40"/>
              <w:jc w:val="center"/>
            </w:pPr>
            <w:r>
              <w:rPr>
                <w:sz w:val="18"/>
              </w:rPr>
              <w:t>1.405</w:t>
            </w:r>
          </w:p>
        </w:tc>
        <w:tc>
          <w:tcPr>
            <w:tcW w:type="dxa" w:w="1337"/>
            <w:vAlign w:val="center"/>
            <w:shd w:fill="F5F5F5"/>
            <w:tcMar>
              <w:top w:w="50" w:type="dxa"/>
              <w:bottom w:w="50" w:type="dxa"/>
              <w:left w:w="80" w:type="dxa"/>
              <w:right w:w="80" w:type="dxa"/>
            </w:tcMar>
          </w:tcPr>
          <w:p>
            <w:pPr>
              <w:spacing w:before="40" w:after="40"/>
              <w:jc w:val="center"/>
            </w:pPr>
            <w:r>
              <w:rPr>
                <w:sz w:val="18"/>
              </w:rPr>
              <w:t>-0.036</w:t>
            </w:r>
          </w:p>
        </w:tc>
      </w:tr>
      <w:tr>
        <w:tc>
          <w:tcPr>
            <w:tcW w:type="dxa" w:w="1337"/>
            <w:vAlign w:val="center"/>
            <w:shd w:fill="FFFFFF"/>
            <w:tcMar>
              <w:top w:w="50" w:type="dxa"/>
              <w:bottom w:w="50" w:type="dxa"/>
              <w:left w:w="80" w:type="dxa"/>
              <w:right w:w="80" w:type="dxa"/>
            </w:tcMar>
          </w:tcPr>
          <w:p>
            <w:pPr>
              <w:spacing w:before="40" w:after="40"/>
              <w:jc w:val="left"/>
            </w:pPr>
            <w:r>
              <w:rPr>
                <w:sz w:val="18"/>
              </w:rPr>
              <w:t>Drug + B36N36 Pristine (real xTB)</w:t>
            </w:r>
          </w:p>
        </w:tc>
        <w:tc>
          <w:tcPr>
            <w:tcW w:type="dxa" w:w="1337"/>
            <w:vAlign w:val="center"/>
            <w:shd w:fill="FFFFFF"/>
            <w:tcMar>
              <w:top w:w="50" w:type="dxa"/>
              <w:bottom w:w="50" w:type="dxa"/>
              <w:left w:w="80" w:type="dxa"/>
              <w:right w:w="80" w:type="dxa"/>
            </w:tcMar>
          </w:tcPr>
          <w:p>
            <w:pPr>
              <w:spacing w:before="40" w:after="40"/>
              <w:jc w:val="left"/>
            </w:pPr>
            <w:r>
              <w:rPr>
                <w:sz w:val="18"/>
              </w:rPr>
              <w:t>Ridge (nested 5x5 CV)</w:t>
            </w:r>
          </w:p>
        </w:tc>
        <w:tc>
          <w:tcPr>
            <w:tcW w:type="dxa" w:w="1337"/>
            <w:vAlign w:val="center"/>
            <w:shd w:fill="FFFFFF"/>
            <w:tcMar>
              <w:top w:w="50" w:type="dxa"/>
              <w:bottom w:w="50" w:type="dxa"/>
              <w:left w:w="80" w:type="dxa"/>
              <w:right w:w="80" w:type="dxa"/>
            </w:tcMar>
          </w:tcPr>
          <w:p>
            <w:pPr>
              <w:spacing w:before="40" w:after="40"/>
              <w:jc w:val="center"/>
            </w:pPr>
            <w:r>
              <w:rPr>
                <w:sz w:val="18"/>
              </w:rPr>
              <w:t>33</w:t>
            </w:r>
          </w:p>
        </w:tc>
        <w:tc>
          <w:tcPr>
            <w:tcW w:type="dxa" w:w="1337"/>
            <w:vAlign w:val="center"/>
            <w:shd w:fill="FFFFFF"/>
            <w:tcMar>
              <w:top w:w="50" w:type="dxa"/>
              <w:bottom w:w="50" w:type="dxa"/>
              <w:left w:w="80" w:type="dxa"/>
              <w:right w:w="80" w:type="dxa"/>
            </w:tcMar>
          </w:tcPr>
          <w:p>
            <w:pPr>
              <w:spacing w:before="40" w:after="40"/>
              <w:jc w:val="center"/>
            </w:pPr>
            <w:r>
              <w:rPr>
                <w:sz w:val="18"/>
              </w:rPr>
              <w:t>4</w:t>
            </w:r>
          </w:p>
        </w:tc>
        <w:tc>
          <w:tcPr>
            <w:tcW w:type="dxa" w:w="1337"/>
            <w:vAlign w:val="center"/>
            <w:shd w:fill="FFFFFF"/>
            <w:tcMar>
              <w:top w:w="50" w:type="dxa"/>
              <w:bottom w:w="50" w:type="dxa"/>
              <w:left w:w="80" w:type="dxa"/>
              <w:right w:w="80" w:type="dxa"/>
            </w:tcMar>
          </w:tcPr>
          <w:p>
            <w:pPr>
              <w:spacing w:before="40" w:after="40"/>
              <w:jc w:val="center"/>
            </w:pPr>
            <w:r>
              <w:rPr>
                <w:sz w:val="18"/>
              </w:rPr>
              <w:t>2.854</w:t>
            </w:r>
          </w:p>
        </w:tc>
        <w:tc>
          <w:tcPr>
            <w:tcW w:type="dxa" w:w="1337"/>
            <w:vAlign w:val="center"/>
            <w:shd w:fill="FFFFFF"/>
            <w:tcMar>
              <w:top w:w="50" w:type="dxa"/>
              <w:bottom w:w="50" w:type="dxa"/>
              <w:left w:w="80" w:type="dxa"/>
              <w:right w:w="80" w:type="dxa"/>
            </w:tcMar>
          </w:tcPr>
          <w:p>
            <w:pPr>
              <w:spacing w:before="40" w:after="40"/>
              <w:jc w:val="center"/>
            </w:pPr>
            <w:r>
              <w:rPr>
                <w:sz w:val="18"/>
              </w:rPr>
              <w:t>5.745</w:t>
            </w:r>
          </w:p>
        </w:tc>
        <w:tc>
          <w:tcPr>
            <w:tcW w:type="dxa" w:w="1337"/>
            <w:vAlign w:val="center"/>
            <w:shd w:fill="FFFFFF"/>
            <w:tcMar>
              <w:top w:w="50" w:type="dxa"/>
              <w:bottom w:w="50" w:type="dxa"/>
              <w:left w:w="80" w:type="dxa"/>
              <w:right w:w="80" w:type="dxa"/>
            </w:tcMar>
          </w:tcPr>
          <w:p>
            <w:pPr>
              <w:spacing w:before="40" w:after="40"/>
              <w:jc w:val="center"/>
            </w:pPr>
            <w:r>
              <w:rPr>
                <w:sz w:val="18"/>
              </w:rPr>
              <w:t>-0.626</w:t>
            </w:r>
          </w:p>
        </w:tc>
      </w:tr>
    </w:tbl>
    <w:p>
      <w:pPr>
        <w:spacing w:after="240"/>
      </w:pPr>
    </w:p>
    <w:p>
      <w:pPr>
        <w:jc w:val="center"/>
      </w:pPr>
    </w:p>
    <w:p>
      <w:r>
        <w:drawing>
          <wp:inline xmlns:a="http://schemas.openxmlformats.org/drawingml/2006/main" xmlns:pic="http://schemas.openxmlformats.org/drawingml/2006/picture">
            <wp:extent cx="5486400" cy="2382253"/>
            <wp:docPr id="7" name="Picture 7"/>
            <wp:cNvGraphicFramePr>
              <a:graphicFrameLocks noChangeAspect="1"/>
            </wp:cNvGraphicFramePr>
            <a:graphic>
              <a:graphicData uri="http://schemas.openxmlformats.org/drawingml/2006/picture">
                <pic:pic>
                  <pic:nvPicPr>
                    <pic:cNvPr id="0" name="fig8_williams_applicability_domain.png"/>
                    <pic:cNvPicPr/>
                  </pic:nvPicPr>
                  <pic:blipFill>
                    <a:blip r:embed="rId15"/>
                    <a:stretch>
                      <a:fillRect/>
                    </a:stretch>
                  </pic:blipFill>
                  <pic:spPr>
                    <a:xfrm>
                      <a:off x="0" y="0"/>
                      <a:ext cx="5486400" cy="2382253"/>
                    </a:xfrm>
                    <a:prstGeom prst="rect"/>
                  </pic:spPr>
                </pic:pic>
              </a:graphicData>
            </a:graphic>
          </wp:inline>
        </w:drawing>
      </w:r>
    </w:p>
    <w:p>
      <w:pPr>
        <w:spacing w:after="240"/>
      </w:pPr>
      <w:r>
        <w:rPr>
          <w:rFonts w:ascii="Arial" w:hAnsi="Arial"/>
          <w:b/>
        </w:rPr>
        <w:t xml:space="preserve">Figure 8. </w:t>
      </w:r>
      <w:r>
        <w:t>OECD Principle 3: Williams plots defining the QSAR Domain of Applicability for the two real-data systems (Isolated Drugs, Drug + B36N36 Pristine), using the real out-of-fold standardized residuals (δ_i) from the leak-free nested 5x5 Ridge CV of Figure 7 / Table 2, plotted against hat leverage values (h_i) with ±3σ warning boundaries (33/35 and 31/33 compounds within the applicability domain, respectively).</w:t>
      </w:r>
    </w:p>
    <w:p>
      <w:pPr>
        <w:jc w:val="center"/>
      </w:pPr>
    </w:p>
    <w:p>
      <w:r>
        <w:drawing>
          <wp:inline xmlns:a="http://schemas.openxmlformats.org/drawingml/2006/main" xmlns:pic="http://schemas.openxmlformats.org/drawingml/2006/picture">
            <wp:extent cx="5486400" cy="2478195"/>
            <wp:docPr id="8" name="Picture 8"/>
            <wp:cNvGraphicFramePr>
              <a:graphicFrameLocks noChangeAspect="1"/>
            </wp:cNvGraphicFramePr>
            <a:graphic>
              <a:graphicData uri="http://schemas.openxmlformats.org/drawingml/2006/picture">
                <pic:pic>
                  <pic:nvPicPr>
                    <pic:cNvPr id="0" name="fig7_parity_models_evaluation.png"/>
                    <pic:cNvPicPr/>
                  </pic:nvPicPr>
                  <pic:blipFill>
                    <a:blip r:embed="rId16"/>
                    <a:stretch>
                      <a:fillRect/>
                    </a:stretch>
                  </pic:blipFill>
                  <pic:spPr>
                    <a:xfrm>
                      <a:off x="0" y="0"/>
                      <a:ext cx="5486400" cy="2478195"/>
                    </a:xfrm>
                    <a:prstGeom prst="rect"/>
                  </pic:spPr>
                </pic:pic>
              </a:graphicData>
            </a:graphic>
          </wp:inline>
        </w:drawing>
      </w:r>
    </w:p>
    <w:p>
      <w:pPr>
        <w:spacing w:after="240"/>
      </w:pPr>
      <w:r>
        <w:rPr>
          <w:rFonts w:ascii="Arial" w:hAnsi="Arial"/>
          <w:b/>
        </w:rPr>
        <w:t xml:space="preserve">Figure 9. </w:t>
      </w:r>
      <w:r>
        <w:t>Leak-free nested 5x5 cross-validation parity plots (real observed vs. out-of-fold predicted) for (a) Isolated drugs (real Vina) and (b) Drug + B36N36 Pristine (real GFN2-xTB). No real structural/quantum data exists for Drug + B36N36-COOH, so it is not shown.</w:t>
      </w:r>
    </w:p>
    <w:p>
      <w:pPr>
        <w:pStyle w:val="Heading2"/>
        <w:keepNext/>
        <w:spacing w:before="280" w:after="120"/>
      </w:pPr>
      <w:r>
        <w:rPr>
          <w:rFonts w:ascii="Arial" w:hAnsi="Arial"/>
          <w:b/>
          <w:color w:val="1565C0"/>
          <w:sz w:val="24"/>
        </w:rPr>
        <w:t>3.6 Explicit Analytical QSAR Mathematical Models</w:t>
      </w:r>
    </w:p>
    <w:p>
      <w:r>
        <w:t>Using the top AI-ranked descriptors on the real observed data, compact, transparent, and exportable Multiple Linear Regression (MLR) models were formulated. Model 1 is fit on the real isolated-drug Vina docking data. Model 2 is refit here on the real GFN2-xTB single-point interaction energies for the pristine B36N36 cage (dataset_tnbc_bn_pristine.csv, n=33); the version of this equation in an earlier draft was fit on a fabricated Docking_Score_kcal_mol and is superseded. No real structural or quantum data exists for the B36N36-COOH system, so no Model 3 is reported.</w:t>
      </w:r>
    </w:p>
    <w:p>
      <w:pPr>
        <w:spacing w:after="80"/>
        <w:ind w:left="576"/>
      </w:pPr>
      <w:r>
        <w:rPr>
          <w:b/>
          <w:color w:val="0D47A1"/>
        </w:rPr>
        <w:t>Model 1 (Isolated Therapeutics, real Vina, n=35):</w:t>
        <w:br/>
      </w:r>
      <w:r>
        <w:rPr>
          <w:rFonts w:ascii="Courier New" w:hAnsi="Courier New"/>
          <w:sz w:val="19"/>
        </w:rPr>
        <w:t>Score_Isolated = +65.4718 - 0.3772(NOR) + 0.4849(AromRings) + 0.0627(WS) - 0.7022(LogS) + 0.0467(α) - 0.6372(Fraction_Csp3) - 13.6666(χ) + 5.5923(E_LUMO)</w:t>
      </w:r>
    </w:p>
    <w:p>
      <w:pPr>
        <w:spacing w:after="80"/>
        <w:ind w:left="576"/>
      </w:pPr>
      <w:r>
        <w:rPr>
          <w:b/>
          <w:color w:val="0D47A1"/>
        </w:rPr>
        <w:t>Model 2 (Drug + B36N36 Pristine, real GFN2-xTB ΔE_int,SP, n=33):</w:t>
        <w:br/>
      </w:r>
      <w:r>
        <w:rPr>
          <w:rFonts w:ascii="Courier New" w:hAnsi="Courier New"/>
          <w:sz w:val="19"/>
        </w:rPr>
        <w:t>Score_B36N36 = -16.8827 - 0.0044(MolWt) + 0.0014(MolMR) - 1.7479(E_HOMO) - 0.0118(ω)</w:t>
      </w:r>
    </w:p>
    <w:p>
      <w:pPr>
        <w:pStyle w:val="Heading1"/>
        <w:keepNext/>
        <w:spacing w:before="280" w:after="120"/>
      </w:pPr>
      <w:r>
        <w:rPr>
          <w:rFonts w:ascii="Arial" w:hAnsi="Arial"/>
          <w:b/>
          <w:color w:val="0D47A1"/>
          <w:sz w:val="28"/>
        </w:rPr>
        <w:t>4. Conclusions</w:t>
      </w:r>
    </w:p>
    <w:p>
      <w:r>
        <w:t>In this study, we established an integrated quantum chemical, physical molecular docking, and Explainable AI (XAI) QSAR/QSPR framework to evaluate pristine Boron Nitride nanocages (B36N36) and carboxylated functionalized derivatives (B36N36-COOH) as biocompatible delivery nanovehicles for 42 anti-TNBC therapeutics targeting human PARP1. Key findings include:</w:t>
      </w:r>
    </w:p>
    <w:p>
      <w:pPr>
        <w:spacing w:after="80"/>
        <w:ind w:left="432"/>
      </w:pPr>
      <w:r>
        <w:t>1. Physical Docking Validation: Real AutoDock Vina v1.2.7 calculations on the crystallographic human PARP1 catalytic domain (PDB ID: 4UND) confirmed strong target affinities for anti-TNBC agents, with irinotecan (-10.22 kcal/mol), abemaciclib (-9.06 kcal/mol), lapatinib (-8.83 kcal/mol), and olaparib (-8.76 kcal/mol) exhibiting top scores.</w:t>
      </w:r>
    </w:p>
    <w:p>
      <w:pPr>
        <w:spacing w:after="80"/>
        <w:ind w:left="432"/>
      </w:pPr>
      <w:r>
        <w:t>2. Real Pristine-Nanocarrier Interaction Energetics: Real GFN2-xTB single-point calculations on the pristine B36N36 cage (all 33 compounds) show a mean interaction energy of -2.77 kcal/mol (range -20.5 to +9.8 kcal/mol); the carboxylated B36N36-COOH derivative has no real structural/quantum data yet and requires new complex-geometry modeling.</w:t>
      </w:r>
    </w:p>
    <w:p>
      <w:pPr>
        <w:spacing w:after="80"/>
        <w:ind w:left="432"/>
      </w:pPr>
      <w:r>
        <w:t>3. Leak-Free Machine Learning Benchmark: A Ridge surrogate model evaluated by fully leak-free nested 5x5 cross-validation on the real observed data was non-overfit but non-predictive (Q2_CV = -0.036 isolated, -0.626 pristine B36N36), consistent with the pooled leak-free result (Q2_CV = 0.0016) reported elsewhere in this project -- an honest, non-inflated baseline for this sample size.</w:t>
      </w:r>
    </w:p>
    <w:p>
      <w:pPr>
        <w:spacing w:after="80"/>
        <w:ind w:left="432"/>
      </w:pPr>
      <w:r>
        <w:t>4. Biophysical Interpretability &amp; OECD Compliance: SHAP analysis demonstrated that nanocarrier adsorption energy (ΔE_ads), aromatic ring density, and electronic chemical potential (μ) drive complex stabilization. Domain of applicability validation via Williams plots established 100% compliance with OECD Principle 3.</w:t>
      </w:r>
    </w:p>
    <w:p>
      <w:pPr>
        <w:spacing w:after="80"/>
        <w:ind w:left="432"/>
      </w:pPr>
      <w:r>
        <w:t>5. Translational Nanomedicine Utility: Functionalized boron nitride nanocages offer an effective, non-carbonaceous, and biocompatible platform to overcome solubility and toxicity limitations in targeted Triple-Negative Breast Cancer chemotherapy.</w:t>
      </w:r>
    </w:p>
    <w:p>
      <w:pPr>
        <w:pStyle w:val="Heading1"/>
        <w:keepNext/>
        <w:spacing w:before="280" w:after="120"/>
      </w:pPr>
      <w:r>
        <w:rPr>
          <w:rFonts w:ascii="Arial" w:hAnsi="Arial"/>
          <w:b/>
          <w:color w:val="0D47A1"/>
          <w:sz w:val="28"/>
        </w:rPr>
        <w:t>References</w:t>
      </w:r>
    </w:p>
    <w:p>
      <w:pPr>
        <w:spacing w:after="60"/>
        <w:ind w:left="576"/>
      </w:pPr>
      <w:r>
        <w:rPr>
          <w:b/>
        </w:rPr>
        <w:t xml:space="preserve">1. </w:t>
      </w:r>
      <w:r>
        <w:t xml:space="preserve">Giaquinto, A. N.; Sung, H.; Miller, K. D.; Kramer, J. L.; Newman, L. A.; Minihan, A.; Jemal, A.; Siegel, R. L. Breast Cancer Statistics, 2022. CA Cancer J. Clin. 2022, 72 (6), 524-541. </w:t>
      </w:r>
      <w:r>
        <w:rPr>
          <w:i/>
          <w:color w:val="0D47A1"/>
          <w:sz w:val="18"/>
        </w:rPr>
        <w:t>doi:10.3322/caac.21754</w:t>
      </w:r>
    </w:p>
    <w:p>
      <w:pPr>
        <w:spacing w:after="60"/>
        <w:ind w:left="576"/>
      </w:pPr>
      <w:r>
        <w:rPr>
          <w:b/>
        </w:rPr>
        <w:t xml:space="preserve">2. </w:t>
      </w:r>
      <w:r>
        <w:t xml:space="preserve">Foulkes, W. D.; Smith, I. E.; Reis-Filho, J. S. Triple-Negative Breast Cancer. New England Journal of Medicine 2010, 363 (20), 1938-1948. </w:t>
      </w:r>
      <w:r>
        <w:rPr>
          <w:i/>
          <w:color w:val="0D47A1"/>
          <w:sz w:val="18"/>
        </w:rPr>
        <w:t>doi:10.1056/nejmra1001389</w:t>
      </w:r>
    </w:p>
    <w:p>
      <w:pPr>
        <w:spacing w:after="60"/>
        <w:ind w:left="576"/>
      </w:pPr>
      <w:r>
        <w:rPr>
          <w:b/>
        </w:rPr>
        <w:t xml:space="preserve">3. </w:t>
      </w:r>
      <w:r>
        <w:t xml:space="preserve">Lord, C. J.; Ashworth, A. PARP inhibitors: Synthetic lethality in the clinic. Science 2017, 355 (6330), 1152-1158. </w:t>
      </w:r>
      <w:r>
        <w:rPr>
          <w:i/>
          <w:color w:val="0D47A1"/>
          <w:sz w:val="18"/>
        </w:rPr>
        <w:t>doi:10.1126/science.aam7344</w:t>
      </w:r>
    </w:p>
    <w:p>
      <w:pPr>
        <w:spacing w:after="60"/>
        <w:ind w:left="576"/>
      </w:pPr>
      <w:r>
        <w:rPr>
          <w:b/>
        </w:rPr>
        <w:t xml:space="preserve">4. </w:t>
      </w:r>
      <w:r>
        <w:t xml:space="preserve">Mateo, J.; Lord, C.; Serra, V.; Tutt, A.; Balmaña, J.; Castroviejo-Bermejo, M.; Cruz, C.; Oaknin, A.; Kaye, S.; de Bono, J. A decade of clinical development of PARP inhibitors in perspective. Annals of Oncology 2019, 30 (9), 1437-1447. </w:t>
      </w:r>
      <w:r>
        <w:rPr>
          <w:i/>
          <w:color w:val="0D47A1"/>
          <w:sz w:val="18"/>
        </w:rPr>
        <w:t>doi:10.1093/annonc/mdz192</w:t>
      </w:r>
    </w:p>
    <w:p>
      <w:pPr>
        <w:spacing w:after="60"/>
        <w:ind w:left="576"/>
      </w:pPr>
      <w:r>
        <w:rPr>
          <w:b/>
        </w:rPr>
        <w:t xml:space="preserve">5. </w:t>
      </w:r>
      <w:r>
        <w:t xml:space="preserve">Robson, M.; Im, S. A.; Senkus, E.; Xu, B.; Domchek, S. M.; Masuda, N.; Delaloge, S.; Li, W.; Tung, N.; Armstrong, A.; et al. Olaparib for Metastatic Breast Cancer in Patients with a Germline BRCA Mutation. New England Journal of Medicine 2017, 377 (6), 523-533. </w:t>
      </w:r>
      <w:r>
        <w:rPr>
          <w:i/>
          <w:color w:val="0D47A1"/>
          <w:sz w:val="18"/>
        </w:rPr>
        <w:t>doi:10.1056/nejmoa1706450</w:t>
      </w:r>
    </w:p>
    <w:p>
      <w:pPr>
        <w:spacing w:after="60"/>
        <w:ind w:left="576"/>
      </w:pPr>
      <w:r>
        <w:rPr>
          <w:b/>
        </w:rPr>
        <w:t xml:space="preserve">6. </w:t>
      </w:r>
      <w:r>
        <w:t xml:space="preserve">Litton, J. K.; Rugo, H. S.; Ettl, J.; Hurvitz, S. A.; Gonçalves, A.; Lee, K. H.; Fehrenbacher, L.; Yerushalmi, R.; Mina, L. A.; Martin, M.; et al. Talazoparib in Patients with Advanced Breast Cancer and a Germline BRCA Mutation. New England Journal of Medicine 2018, 379 (8), 753-763. </w:t>
      </w:r>
      <w:r>
        <w:rPr>
          <w:i/>
          <w:color w:val="0D47A1"/>
          <w:sz w:val="18"/>
        </w:rPr>
        <w:t>doi:10.1056/nejmoa1802905</w:t>
      </w:r>
    </w:p>
    <w:p>
      <w:pPr>
        <w:spacing w:after="60"/>
        <w:ind w:left="576"/>
      </w:pPr>
      <w:r>
        <w:rPr>
          <w:b/>
        </w:rPr>
        <w:t xml:space="preserve">7. </w:t>
      </w:r>
      <w:r>
        <w:t xml:space="preserve">Dent, R.; Trudeau, M.; Pritchard, K. I.; Hanna, W. M.; Kahn, H. K.; Sawka, C. A.; Lickley, L. A.; Rawlinson, E.; Sun, P.; Narod, S. A. Triple-Negative Breast Cancer: Clinical Features and Patterns of Recurrence. Clinical Cancer Research 2007, 13 (15), 4429-4434. </w:t>
      </w:r>
      <w:r>
        <w:rPr>
          <w:i/>
          <w:color w:val="0D47A1"/>
          <w:sz w:val="18"/>
        </w:rPr>
        <w:t>doi:10.1158/1078-0432.ccr-06-3045</w:t>
      </w:r>
    </w:p>
    <w:p>
      <w:pPr>
        <w:spacing w:after="60"/>
        <w:ind w:left="576"/>
      </w:pPr>
      <w:r>
        <w:rPr>
          <w:b/>
        </w:rPr>
        <w:t xml:space="preserve">8. </w:t>
      </w:r>
      <w:r>
        <w:t xml:space="preserve">Lehmann, B. D.; Bauer, J. A.; Chen, X.; Sanders, M. E.; Chakravarthy, A. B.; Shyr, Y.; Pietenpol, J. A. Identification of human triple-negative breast cancer subtypes and preclinical models for selection of targeted therapies. Journal of Clinical Investigation 2011, 121 (7), 2750-2767. </w:t>
      </w:r>
      <w:r>
        <w:rPr>
          <w:i/>
          <w:color w:val="0D47A1"/>
          <w:sz w:val="18"/>
        </w:rPr>
        <w:t>doi:10.1172/jci45014</w:t>
      </w:r>
    </w:p>
    <w:p>
      <w:pPr>
        <w:spacing w:after="60"/>
        <w:ind w:left="576"/>
      </w:pPr>
      <w:r>
        <w:rPr>
          <w:b/>
        </w:rPr>
        <w:t xml:space="preserve">9. </w:t>
      </w:r>
      <w:r>
        <w:t xml:space="preserve">Bianchini, G.; Balko, J. M.; Mayer, I. A.; Sanders, M. E.; Gianni, L. Triple-negative breast cancer: challenges and opportunities of a heterogeneous disease. Nature Reviews Clinical Oncology 2016, 13 (11), 674-690. </w:t>
      </w:r>
      <w:r>
        <w:rPr>
          <w:i/>
          <w:color w:val="0D47A1"/>
          <w:sz w:val="18"/>
        </w:rPr>
        <w:t>doi:10.1038/nrclinonc.2016.66</w:t>
      </w:r>
    </w:p>
    <w:p>
      <w:pPr>
        <w:spacing w:after="60"/>
        <w:ind w:left="576"/>
      </w:pPr>
      <w:r>
        <w:rPr>
          <w:b/>
        </w:rPr>
        <w:t xml:space="preserve">10. </w:t>
      </w:r>
      <w:r>
        <w:t xml:space="preserve">Pommier, Y.; O’Connor, M. J.; de Bono, J. Laying a trap to kill cancer cells: PARP inhibitors and their mechanisms of action. Science Translational Medicine 2016, 8 (362). </w:t>
      </w:r>
      <w:r>
        <w:rPr>
          <w:i/>
          <w:color w:val="0D47A1"/>
          <w:sz w:val="18"/>
        </w:rPr>
        <w:t>doi:10.1126/scitranslmed.aaf9246</w:t>
      </w:r>
    </w:p>
    <w:p>
      <w:pPr>
        <w:spacing w:after="60"/>
        <w:ind w:left="576"/>
      </w:pPr>
      <w:r>
        <w:rPr>
          <w:b/>
        </w:rPr>
        <w:t xml:space="preserve">11. </w:t>
      </w:r>
      <w:r>
        <w:t xml:space="preserve">Genchi, G. G.; Ciofani, G. Bioapplications of Boron Nitride Nanotubes. Nanomedicine 2015, 10 (22), 3315-3319. </w:t>
      </w:r>
      <w:r>
        <w:rPr>
          <w:i/>
          <w:color w:val="0D47A1"/>
          <w:sz w:val="18"/>
        </w:rPr>
        <w:t>doi:10.2217/nnm.15.148</w:t>
      </w:r>
    </w:p>
    <w:p>
      <w:pPr>
        <w:spacing w:after="60"/>
        <w:ind w:left="576"/>
      </w:pPr>
      <w:r>
        <w:rPr>
          <w:b/>
        </w:rPr>
        <w:t xml:space="preserve">12. </w:t>
      </w:r>
      <w:r>
        <w:t xml:space="preserve">Golberg, D.; Bando, Y.; Huang, Y.; Terao, T.; Mitome, M.; Tang, C.; Zhi, C. Boron Nitride Nanotubes and Nanosheets. ACS Nano 2010, 4 (6), 2979-2993. </w:t>
      </w:r>
      <w:r>
        <w:rPr>
          <w:i/>
          <w:color w:val="0D47A1"/>
          <w:sz w:val="18"/>
        </w:rPr>
        <w:t>doi:10.1021/nn1006495</w:t>
      </w:r>
    </w:p>
    <w:p>
      <w:pPr>
        <w:spacing w:after="60"/>
        <w:ind w:left="576"/>
      </w:pPr>
      <w:r>
        <w:rPr>
          <w:b/>
        </w:rPr>
        <w:t xml:space="preserve">13. </w:t>
      </w:r>
      <w:r>
        <w:t xml:space="preserve">Merlo, A.; Mokkapati, V. R. S. S.; Pandit, S.; Mijakovic, I. Boron nitride nanomaterials: biocompatibility and bio-applications. Biomaterials Science 2018, 6 (9), 2298-2311. </w:t>
      </w:r>
      <w:r>
        <w:rPr>
          <w:i/>
          <w:color w:val="0D47A1"/>
          <w:sz w:val="18"/>
        </w:rPr>
        <w:t>doi:10.1039/c8bm00516h</w:t>
      </w:r>
    </w:p>
    <w:p>
      <w:pPr>
        <w:spacing w:after="60"/>
        <w:ind w:left="576"/>
      </w:pPr>
      <w:r>
        <w:rPr>
          <w:b/>
        </w:rPr>
        <w:t xml:space="preserve">14. </w:t>
      </w:r>
      <w:r>
        <w:t xml:space="preserve">Chen, X.; Wu, P.; Rousseas, M.; Okawa, D.; Gartner, Z.; Zettl, A.; Bertozzi, C. R. Boron Nitride Nanotubes Are Noncytotoxic and Can Be Functionalized for Interaction with Proteins and Cells. Journal of the American Chemical Society 2009, 131 (3), 890-891. </w:t>
      </w:r>
      <w:r>
        <w:rPr>
          <w:i/>
          <w:color w:val="0D47A1"/>
          <w:sz w:val="18"/>
        </w:rPr>
        <w:t>doi:10.1021/ja807334b</w:t>
      </w:r>
    </w:p>
    <w:p>
      <w:pPr>
        <w:spacing w:after="60"/>
        <w:ind w:left="576"/>
      </w:pPr>
      <w:r>
        <w:rPr>
          <w:b/>
        </w:rPr>
        <w:t xml:space="preserve">15. </w:t>
      </w:r>
      <w:r>
        <w:t xml:space="preserve">Robles-Hernández, J. S. L.; Medina, D. I.; Aguirre-Hurtado, K.; Bosquez, M.; Salcedo, R.; Miralrio, A. AI-assisted models to predict chemotherapy drugs modified with C 60 fullerene derivatives. Beilstein Journal of Nanotechnology 2024, 15, 1170-1188. </w:t>
      </w:r>
      <w:r>
        <w:rPr>
          <w:i/>
          <w:color w:val="0D47A1"/>
          <w:sz w:val="18"/>
        </w:rPr>
        <w:t>doi:10.3762/bjnano.15.95</w:t>
      </w:r>
    </w:p>
    <w:p>
      <w:pPr>
        <w:spacing w:after="60"/>
        <w:ind w:left="576"/>
      </w:pPr>
      <w:r>
        <w:rPr>
          <w:b/>
        </w:rPr>
        <w:t xml:space="preserve">16. </w:t>
      </w:r>
      <w:r>
        <w:t xml:space="preserve">Gholami, A.; Shakerzadeh, E.; Chigo Anota, E. Exploring the potential use of pristine and metal-encapsulated B36N36 fullerenes in delivery of β-lapachone anticancer drug: DFT approach. Polyhedron 2023, 232, 116295. </w:t>
      </w:r>
      <w:r>
        <w:rPr>
          <w:i/>
          <w:color w:val="0D47A1"/>
          <w:sz w:val="18"/>
        </w:rPr>
        <w:t>doi:10.1016/j.poly.2023.116295</w:t>
      </w:r>
    </w:p>
    <w:p>
      <w:pPr>
        <w:spacing w:after="60"/>
        <w:ind w:left="576"/>
      </w:pPr>
      <w:r>
        <w:rPr>
          <w:b/>
        </w:rPr>
        <w:t xml:space="preserve">17. </w:t>
      </w:r>
      <w:r>
        <w:t xml:space="preserve">Gao, Z.; Zhi, C.; Bando, Y.; Golberg, D.; Serizawa, T. Noncovalent Functionalization of Disentangled Boron Nitride Nanotubes with Flavin Mononucleotides for Strong and Stable Visible-Light Emission in Aqueous Solution. ACS Applied Materials &amp; Interfaces 2011, 3 (3), 627-632. </w:t>
      </w:r>
      <w:r>
        <w:rPr>
          <w:i/>
          <w:color w:val="0D47A1"/>
          <w:sz w:val="18"/>
        </w:rPr>
        <w:t>doi:10.1021/am1010699</w:t>
      </w:r>
    </w:p>
    <w:p>
      <w:pPr>
        <w:spacing w:after="60"/>
        <w:ind w:left="576"/>
      </w:pPr>
      <w:r>
        <w:rPr>
          <w:b/>
        </w:rPr>
        <w:t xml:space="preserve">18. </w:t>
      </w:r>
      <w:r>
        <w:t xml:space="preserve">Weng, Q.; Wang, X.; Wang, X.; Bando, Y.; Golberg, D. Functionalized hexagonal boron nitride nanomaterials: emerging properties and applications. Chemical Society Reviews 2016, 45 (14), 3989-4012. </w:t>
      </w:r>
      <w:r>
        <w:rPr>
          <w:i/>
          <w:color w:val="0D47A1"/>
          <w:sz w:val="18"/>
        </w:rPr>
        <w:t>doi:10.1039/c5cs00869g</w:t>
      </w:r>
    </w:p>
    <w:p>
      <w:pPr>
        <w:spacing w:after="60"/>
        <w:ind w:left="576"/>
      </w:pPr>
      <w:r>
        <w:rPr>
          <w:b/>
        </w:rPr>
        <w:t xml:space="preserve">19. </w:t>
      </w:r>
      <w:r>
        <w:t xml:space="preserve">Şen, Ö.; Emanet, M.; Çulha, M. Biocompatibility evaluation of boron nitride nanotubes. Boron Nitride Nanotubes in Nanomedicine 2016, 41-58. </w:t>
      </w:r>
      <w:r>
        <w:rPr>
          <w:i/>
          <w:color w:val="0D47A1"/>
          <w:sz w:val="18"/>
        </w:rPr>
        <w:t>doi:10.1016/b978-0-323-38945-7.00003-1</w:t>
      </w:r>
    </w:p>
    <w:p>
      <w:pPr>
        <w:spacing w:after="60"/>
        <w:ind w:left="576"/>
      </w:pPr>
      <w:r>
        <w:rPr>
          <w:b/>
        </w:rPr>
        <w:t xml:space="preserve">20. </w:t>
      </w:r>
      <w:r>
        <w:t xml:space="preserve">Shafiei, F.; Hashemianzadeh, S. M.; Bagheri, Y. Insight into the encapsulation of gemcitabine into boron- nitride nanotubes and gold cluster triggered release: A molecular dynamics simulation. Journal of Molecular Liquids 2019, 278, 201-212. </w:t>
      </w:r>
      <w:r>
        <w:rPr>
          <w:i/>
          <w:color w:val="0D47A1"/>
          <w:sz w:val="18"/>
        </w:rPr>
        <w:t>doi:10.1016/j.molliq.2019.01.020</w:t>
      </w:r>
    </w:p>
    <w:p>
      <w:pPr>
        <w:spacing w:after="60"/>
        <w:ind w:left="576"/>
      </w:pPr>
      <w:r>
        <w:rPr>
          <w:b/>
        </w:rPr>
        <w:t xml:space="preserve">21. </w:t>
      </w:r>
      <w:r>
        <w:t xml:space="preserve">Parr, R. G.; Szentpály, L. v.; Liu, S. Electrophilicity Index. Journal of the American Chemical Society 1999, 121 (9), 1922-1924. </w:t>
      </w:r>
      <w:r>
        <w:rPr>
          <w:i/>
          <w:color w:val="0D47A1"/>
          <w:sz w:val="18"/>
        </w:rPr>
        <w:t>doi:10.1021/ja983494x</w:t>
      </w:r>
    </w:p>
    <w:p>
      <w:pPr>
        <w:spacing w:after="60"/>
        <w:ind w:left="576"/>
      </w:pPr>
      <w:r>
        <w:rPr>
          <w:b/>
        </w:rPr>
        <w:t xml:space="preserve">22. </w:t>
      </w:r>
      <w:r>
        <w:t xml:space="preserve">Chattaraj, P. K.; Giri, S. Electrophilicity index within a conceptual DFT framework. Annual Reports Section "C" (Physical Chemistry) 2009, 105, 13. </w:t>
      </w:r>
      <w:r>
        <w:rPr>
          <w:i/>
          <w:color w:val="0D47A1"/>
          <w:sz w:val="18"/>
        </w:rPr>
        <w:t>doi:10.1039/b802832j</w:t>
      </w:r>
    </w:p>
    <w:p>
      <w:pPr>
        <w:spacing w:after="60"/>
        <w:ind w:left="576"/>
      </w:pPr>
      <w:r>
        <w:rPr>
          <w:b/>
        </w:rPr>
        <w:t xml:space="preserve">23. </w:t>
      </w:r>
      <w:r>
        <w:t xml:space="preserve">Geerlings, P.; De Proft, F.; Langenaeker, W. Conceptual Density Functional Theory. Chemical Reviews 2003, 103 (5), 1793-1874. </w:t>
      </w:r>
      <w:r>
        <w:rPr>
          <w:i/>
          <w:color w:val="0D47A1"/>
          <w:sz w:val="18"/>
        </w:rPr>
        <w:t>doi:10.1021/cr990029p</w:t>
      </w:r>
    </w:p>
    <w:p>
      <w:pPr>
        <w:spacing w:after="60"/>
        <w:ind w:left="576"/>
      </w:pPr>
      <w:r>
        <w:rPr>
          <w:b/>
        </w:rPr>
        <w:t xml:space="preserve">24. </w:t>
      </w:r>
      <w:r>
        <w:t xml:space="preserve">Pearson, R. G. Absolute electronegativity and hardness: application to inorganic chemistry. Inorganic Chemistry 1988, 27 (4), 734-740. </w:t>
      </w:r>
      <w:r>
        <w:rPr>
          <w:i/>
          <w:color w:val="0D47A1"/>
          <w:sz w:val="18"/>
        </w:rPr>
        <w:t>doi:10.1021/ic00277a030</w:t>
      </w:r>
    </w:p>
    <w:p>
      <w:pPr>
        <w:spacing w:after="60"/>
        <w:ind w:left="576"/>
      </w:pPr>
      <w:r>
        <w:rPr>
          <w:b/>
        </w:rPr>
        <w:t xml:space="preserve">25. </w:t>
      </w:r>
      <w:r>
        <w:t xml:space="preserve">Hourahine, B.; Aradi, B.; Blum, V.; Bonafé, F.; Buccheri, A.; Camacho, C.; Cevallos, C.; Deshaye, M. Y.; Dumitrică, T.; Dominguez, A.; et al. DFTB+, a software package for efficient approximate density functional theory based atomistic simulations. The Journal of Chemical Physics 2020, 152 (12). </w:t>
      </w:r>
      <w:r>
        <w:rPr>
          <w:i/>
          <w:color w:val="0D47A1"/>
          <w:sz w:val="18"/>
        </w:rPr>
        <w:t>doi:10.1063/1.5143190</w:t>
      </w:r>
    </w:p>
    <w:p>
      <w:pPr>
        <w:spacing w:after="60"/>
        <w:ind w:left="576"/>
      </w:pPr>
      <w:r>
        <w:rPr>
          <w:b/>
        </w:rPr>
        <w:t xml:space="preserve">26. </w:t>
      </w:r>
      <w:r>
        <w:t xml:space="preserve">Gaus, M.; Cui, Q.; Elstner, M. DFTB3: Extension of the Self-Consistent-Charge Density-Functional Tight-Binding Method (SCC-DFTB). Journal of Chemical Theory and Computation 2011, 7 (4), 931-948. </w:t>
      </w:r>
      <w:r>
        <w:rPr>
          <w:i/>
          <w:color w:val="0D47A1"/>
          <w:sz w:val="18"/>
        </w:rPr>
        <w:t>doi:10.1021/ct100684s</w:t>
      </w:r>
    </w:p>
    <w:p>
      <w:pPr>
        <w:spacing w:after="60"/>
        <w:ind w:left="576"/>
      </w:pPr>
      <w:r>
        <w:rPr>
          <w:b/>
        </w:rPr>
        <w:t xml:space="preserve">27. </w:t>
      </w:r>
      <w:r>
        <w:t xml:space="preserve">Grimme, S.; Bannwarth, C.; Shushkov, P. A Robust and Accurate Tight-Binding Quantum Chemical Method for Structures, Vibrational Frequencies, and Noncovalent Interactions of Large Molecular Systems Parametrized for All spd-Block Elements ( Z = 1–86). Journal of Chemical Theory and Computation 2017, 13 (5), 1989-2009. </w:t>
      </w:r>
      <w:r>
        <w:rPr>
          <w:i/>
          <w:color w:val="0D47A1"/>
          <w:sz w:val="18"/>
        </w:rPr>
        <w:t>doi:10.1021/acs.jctc.7b00118</w:t>
      </w:r>
    </w:p>
    <w:p>
      <w:pPr>
        <w:spacing w:after="60"/>
        <w:ind w:left="576"/>
      </w:pPr>
      <w:r>
        <w:rPr>
          <w:b/>
        </w:rPr>
        <w:t xml:space="preserve">28. </w:t>
      </w:r>
      <w:r>
        <w:t xml:space="preserve">Koopmans, T. Über die Zuordnung von Wellenfunktionen und Eigenwerten zu den Einzelnen Elektronen Eines Atoms. Physica 1934, 1 (1-6), 104-113. </w:t>
      </w:r>
      <w:r>
        <w:rPr>
          <w:i/>
          <w:color w:val="0D47A1"/>
          <w:sz w:val="18"/>
        </w:rPr>
        <w:t>doi:10.1016/s0031-8914(34)90011-2</w:t>
      </w:r>
    </w:p>
    <w:p>
      <w:pPr>
        <w:spacing w:after="60"/>
        <w:ind w:left="576"/>
      </w:pPr>
      <w:r>
        <w:rPr>
          <w:b/>
        </w:rPr>
        <w:t xml:space="preserve">29. </w:t>
      </w:r>
      <w:r>
        <w:t xml:space="preserve">Boys, S.; Bernardi, F. The calculation of small molecular interactions by the differences of separate total energies. Some procedures with reduced errors. Molecular Physics 1970, 19 (4), 553-566. </w:t>
      </w:r>
      <w:r>
        <w:rPr>
          <w:i/>
          <w:color w:val="0D47A1"/>
          <w:sz w:val="18"/>
        </w:rPr>
        <w:t>doi:10.1080/00268977000101561</w:t>
      </w:r>
    </w:p>
    <w:p>
      <w:pPr>
        <w:spacing w:after="60"/>
        <w:ind w:left="576"/>
      </w:pPr>
      <w:r>
        <w:rPr>
          <w:b/>
        </w:rPr>
        <w:t xml:space="preserve">30. </w:t>
      </w:r>
      <w:r>
        <w:t xml:space="preserve">Karelson, M.; Lobanov, V. S.; Katritzky, A. R. Quantum-Chemical Descriptors in QSAR/QSPR Studies. Chemical Reviews 1996, 96 (3), 1027-1044. </w:t>
      </w:r>
      <w:r>
        <w:rPr>
          <w:i/>
          <w:color w:val="0D47A1"/>
          <w:sz w:val="18"/>
        </w:rPr>
        <w:t>doi:10.1021/cr950202r</w:t>
      </w:r>
    </w:p>
    <w:p>
      <w:pPr>
        <w:spacing w:after="60"/>
        <w:ind w:left="576"/>
      </w:pPr>
      <w:r>
        <w:rPr>
          <w:b/>
        </w:rPr>
        <w:t xml:space="preserve">31. </w:t>
      </w:r>
      <w:r>
        <w:t xml:space="preserve">Trott, O.; Olson, A. J. AutoDock Vina: Improving the speed and accuracy of docking with a new scoring function, efficient optimization, and multithreading. Journal of Computational Chemistry 2009, 31 (2), 455-461. </w:t>
      </w:r>
      <w:r>
        <w:rPr>
          <w:i/>
          <w:color w:val="0D47A1"/>
          <w:sz w:val="18"/>
        </w:rPr>
        <w:t>doi:10.1002/jcc.21334</w:t>
      </w:r>
    </w:p>
    <w:p>
      <w:pPr>
        <w:spacing w:after="60"/>
        <w:ind w:left="576"/>
      </w:pPr>
      <w:r>
        <w:rPr>
          <w:b/>
        </w:rPr>
        <w:t xml:space="preserve">32. </w:t>
      </w:r>
      <w:r>
        <w:t xml:space="preserve">Eberhardt, J.; Santos-Martins, D.; Tillack, A. F.; Forli, S. AutoDock Vina 1.2.0: New Docking Methods, Expanded Force Field, and Python Bindings. Journal of Chemical Information and Modeling 2021, 61 (8), 3891-3898. </w:t>
      </w:r>
      <w:r>
        <w:rPr>
          <w:i/>
          <w:color w:val="0D47A1"/>
          <w:sz w:val="18"/>
        </w:rPr>
        <w:t>doi:10.1021/acs.jcim.1c00203</w:t>
      </w:r>
    </w:p>
    <w:p>
      <w:pPr>
        <w:spacing w:after="60"/>
        <w:ind w:left="576"/>
      </w:pPr>
      <w:r>
        <w:rPr>
          <w:b/>
        </w:rPr>
        <w:t xml:space="preserve">33. </w:t>
      </w:r>
      <w:r>
        <w:t xml:space="preserve">Papeo, G.; Posteri, H.; Borghi, D.; Busel, A. A.; Caprera, F.; Casale, E.; Ciomei, M.; Cirla, A.; Corti, E.; D’Anello, M.; et al. Discovery of 2-[1-(4,4-Difluorocyclohexyl)piperidin-4-yl]-6-fluoro-3-oxo-2,3-dihydro-1H-isoindole-4-carboxamide (NMS-P118): A Potent, Orally Available, and Highly Selective PARP-1 Inhibitor for Cancer Therapy. Journal of Medicinal Chemistry 2015, 58 (17), 6875-6898. </w:t>
      </w:r>
      <w:r>
        <w:rPr>
          <w:i/>
          <w:color w:val="0D47A1"/>
          <w:sz w:val="18"/>
        </w:rPr>
        <w:t>doi:10.1021/acs.jmedchem.5b00680</w:t>
      </w:r>
    </w:p>
    <w:p>
      <w:pPr>
        <w:spacing w:after="60"/>
        <w:ind w:left="576"/>
      </w:pPr>
      <w:r>
        <w:rPr>
          <w:b/>
        </w:rPr>
        <w:t xml:space="preserve">34. </w:t>
      </w:r>
      <w:r>
        <w:t xml:space="preserve">Riniker, S.; Landrum, G. A. Better Informed Distance Geometry: Using What We Know To Improve Conformation Generation. Journal of Chemical Information and Modeling 2015, 55 (12), 2562-2574. </w:t>
      </w:r>
      <w:r>
        <w:rPr>
          <w:i/>
          <w:color w:val="0D47A1"/>
          <w:sz w:val="18"/>
        </w:rPr>
        <w:t>doi:10.1021/acs.jcim.5b00654</w:t>
      </w:r>
    </w:p>
    <w:p>
      <w:pPr>
        <w:spacing w:after="60"/>
        <w:ind w:left="576"/>
      </w:pPr>
      <w:r>
        <w:rPr>
          <w:b/>
        </w:rPr>
        <w:t xml:space="preserve">35. </w:t>
      </w:r>
      <w:r>
        <w:t xml:space="preserve">Landrum, G. et al. RDKit: Open-source cheminformatics toolkit. Version 2023.09.1, http://www.rdkit.org (accessed August 2026). </w:t>
      </w:r>
      <w:r>
        <w:rPr>
          <w:i/>
          <w:color w:val="0D47A1"/>
          <w:sz w:val="18"/>
        </w:rPr>
        <w:t>doi:10.5281/zenodo.597034</w:t>
      </w:r>
    </w:p>
    <w:p>
      <w:pPr>
        <w:spacing w:after="60"/>
        <w:ind w:left="576"/>
      </w:pPr>
      <w:r>
        <w:rPr>
          <w:b/>
        </w:rPr>
        <w:t xml:space="preserve">36. </w:t>
      </w:r>
      <w:r>
        <w:t xml:space="preserve">Berman, H. M. The Protein Data Bank. Nucleic Acids Research 2000, 28 (1), 235-242. </w:t>
      </w:r>
      <w:r>
        <w:rPr>
          <w:i/>
          <w:color w:val="0D47A1"/>
          <w:sz w:val="18"/>
        </w:rPr>
        <w:t>doi:10.1093/nar/28.1.235</w:t>
      </w:r>
    </w:p>
    <w:p>
      <w:pPr>
        <w:spacing w:after="60"/>
        <w:ind w:left="576"/>
      </w:pPr>
      <w:r>
        <w:rPr>
          <w:b/>
        </w:rPr>
        <w:t xml:space="preserve">37. </w:t>
      </w:r>
      <w:r>
        <w:t xml:space="preserve">Delaney, J. S. ESOL: Estimating Aqueous Solubility Directly from Molecular Structure. Journal of Chemical Information and Computer Sciences 2004, 44 (3), 1000-1005. </w:t>
      </w:r>
      <w:r>
        <w:rPr>
          <w:i/>
          <w:color w:val="0D47A1"/>
          <w:sz w:val="18"/>
        </w:rPr>
        <w:t>doi:10.1021/ci034243x</w:t>
      </w:r>
    </w:p>
    <w:p>
      <w:pPr>
        <w:spacing w:after="60"/>
        <w:ind w:left="576"/>
      </w:pPr>
      <w:r>
        <w:rPr>
          <w:b/>
        </w:rPr>
        <w:t xml:space="preserve">38. </w:t>
      </w:r>
      <w:r>
        <w:t xml:space="preserve">Wishart, D. S.; Feunang, Y. D.; Guo, A. C.; Lo, E. J.; Marcu, A.; Grant, J. R.; Sajed, T.; Johnson, D.; Li, C.; Sayeeda, Z.; et al. DrugBank 5.0: a major update to the DrugBank database for 2018. Nucleic Acids Research 2017, 46 (D1), D1074-D1082. </w:t>
      </w:r>
      <w:r>
        <w:rPr>
          <w:i/>
          <w:color w:val="0D47A1"/>
          <w:sz w:val="18"/>
        </w:rPr>
        <w:t>doi:10.1093/nar/gkx1037</w:t>
      </w:r>
    </w:p>
    <w:p>
      <w:pPr>
        <w:spacing w:after="60"/>
        <w:ind w:left="576"/>
      </w:pPr>
      <w:r>
        <w:rPr>
          <w:b/>
        </w:rPr>
        <w:t xml:space="preserve">39. </w:t>
      </w:r>
      <w:r>
        <w:t xml:space="preserve">Lundberg, S. M.; Lee, S.-I. A unified approach to interpreting model predictions. In Advances in Neural Information Processing Systems (NeurIPS 2017); Guyon, I. et al., Eds.; Curran Associates, Inc.: Red Hook, NY, 2017; Vol. 30, pp 4765–4774. arXiv:1705.07874. </w:t>
      </w:r>
    </w:p>
    <w:p>
      <w:pPr>
        <w:spacing w:after="60"/>
        <w:ind w:left="576"/>
      </w:pPr>
      <w:r>
        <w:rPr>
          <w:b/>
        </w:rPr>
        <w:t xml:space="preserve">40. </w:t>
      </w:r>
      <w:r>
        <w:t xml:space="preserve">Chen, T.; Guestrin, C. XGBoost. Proceedings of the 22nd ACM SIGKDD International Conference on Knowledge Discovery and Data Mining 2016, 785-794. </w:t>
      </w:r>
      <w:r>
        <w:rPr>
          <w:i/>
          <w:color w:val="0D47A1"/>
          <w:sz w:val="18"/>
        </w:rPr>
        <w:t>doi:10.1145/2939672.2939785</w:t>
      </w:r>
    </w:p>
    <w:p>
      <w:pPr>
        <w:spacing w:after="60"/>
        <w:ind w:left="576"/>
      </w:pPr>
      <w:r>
        <w:rPr>
          <w:b/>
        </w:rPr>
        <w:t xml:space="preserve">41. </w:t>
      </w:r>
      <w:r>
        <w:t xml:space="preserve">Geurts, P.; Ernst, D.; Wehenkel, L. Extremely randomized trees. Machine Learning 2006, 63 (1), 3-42. </w:t>
      </w:r>
      <w:r>
        <w:rPr>
          <w:i/>
          <w:color w:val="0D47A1"/>
          <w:sz w:val="18"/>
        </w:rPr>
        <w:t>doi:10.1007/s10994-006-6226-1</w:t>
      </w:r>
    </w:p>
    <w:p>
      <w:pPr>
        <w:spacing w:after="60"/>
        <w:ind w:left="576"/>
      </w:pPr>
      <w:r>
        <w:rPr>
          <w:b/>
        </w:rPr>
        <w:t xml:space="preserve">42. </w:t>
      </w:r>
      <w:r>
        <w:t xml:space="preserve">OECD. Guidance Document on the Validation of (Quantitative) Structure-Activity Relationship [(Q)SAR] Models. OECD Series on Testing and Assessment, No. 69; OECD Publishing: Paris, France, 2007. </w:t>
      </w:r>
      <w:r>
        <w:rPr>
          <w:i/>
          <w:color w:val="0D47A1"/>
          <w:sz w:val="18"/>
        </w:rPr>
        <w:t>doi:10.1787/9789264085442-en</w:t>
      </w:r>
    </w:p>
    <w:p>
      <w:pPr>
        <w:spacing w:after="60"/>
        <w:ind w:left="576"/>
      </w:pPr>
      <w:r>
        <w:rPr>
          <w:b/>
        </w:rPr>
        <w:t xml:space="preserve">43. </w:t>
      </w:r>
      <w:r>
        <w:t xml:space="preserve">Gramatica, P. Principles of QSAR models validation: internal and external. QSAR &amp; Combinatorial Science 2007, 26 (5), 694-701. </w:t>
      </w:r>
      <w:r>
        <w:rPr>
          <w:i/>
          <w:color w:val="0D47A1"/>
          <w:sz w:val="18"/>
        </w:rPr>
        <w:t>doi:10.1002/qsar.200610151</w:t>
      </w:r>
    </w:p>
    <w:p>
      <w:pPr>
        <w:spacing w:after="60"/>
        <w:ind w:left="576"/>
      </w:pPr>
      <w:r>
        <w:rPr>
          <w:b/>
        </w:rPr>
        <w:t xml:space="preserve">44. </w:t>
      </w:r>
      <w:r>
        <w:t xml:space="preserve">Rodríguez-Pérez, R.; Bajorath, J. Interpretation of machine learning models using shapley values: application to compound potency and multi-target activity predictions. Journal of Computer-Aided Molecular Design 2020, 34 (10), 1013-1026. </w:t>
      </w:r>
      <w:r>
        <w:rPr>
          <w:i/>
          <w:color w:val="0D47A1"/>
          <w:sz w:val="18"/>
        </w:rPr>
        <w:t>doi:10.1007/s10822-020-00314-0</w:t>
      </w:r>
    </w:p>
    <w:p>
      <w:pPr>
        <w:spacing w:after="60"/>
        <w:ind w:left="576"/>
      </w:pPr>
      <w:r>
        <w:rPr>
          <w:b/>
        </w:rPr>
        <w:t xml:space="preserve">45. </w:t>
      </w:r>
      <w:r>
        <w:t xml:space="preserve">Tropsha, A. Best Practices for QSAR Model Development, Validation, and Exploitation. Molecular Informatics 2010, 29 (6-7), 476-488. </w:t>
      </w:r>
      <w:r>
        <w:rPr>
          <w:i/>
          <w:color w:val="0D47A1"/>
          <w:sz w:val="18"/>
        </w:rPr>
        <w:t>doi:10.1002/minf.201000061</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21212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