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sz w:val="30"/>
        </w:rPr>
        <w:t>Supporting Information (Online Resource 1)</w:t>
      </w:r>
    </w:p>
    <w:p>
      <w:pPr>
        <w:spacing w:after="80"/>
        <w:jc w:val="left"/>
      </w:pPr>
      <w:r>
        <w:rPr>
          <w:sz w:val="22"/>
        </w:rPr>
        <w:t>Physisorption and dative-bond chemisorption of anti-TNBC drugs on a B</w:t>
      </w:r>
      <w:r>
        <w:rPr>
          <w:sz w:val="22"/>
          <w:vertAlign w:val="subscript"/>
        </w:rPr>
        <w:t>36</w:t>
      </w:r>
      <w:r>
        <w:rPr>
          <w:sz w:val="22"/>
        </w:rPr>
        <w:t>N</w:t>
      </w:r>
      <w:r>
        <w:rPr>
          <w:sz w:val="22"/>
          <w:vertAlign w:val="subscript"/>
        </w:rPr>
        <w:t>36</w:t>
      </w:r>
      <w:r>
        <w:rPr>
          <w:sz w:val="22"/>
        </w:rPr>
        <w:t xml:space="preserve"> fullerene-like cage: validated PARP1 docking, GFN2-xTB adsorption and QSPR analysis</w:t>
      </w:r>
    </w:p>
    <w:p>
      <w:pPr>
        <w:spacing w:after="80"/>
        <w:jc w:val="left"/>
      </w:pPr>
      <w:r>
        <w:rPr>
          <w:i/>
          <w:sz w:val="20"/>
        </w:rPr>
        <w:t>Journal of Molecular Modeling</w:t>
      </w:r>
    </w:p>
    <w:p>
      <w:pPr>
        <w:spacing w:after="40"/>
        <w:jc w:val="left"/>
      </w:pPr>
      <w:r>
        <w:rPr>
          <w:sz w:val="20"/>
        </w:rPr>
        <w:t>Andrés Monreal Hernández</w:t>
      </w:r>
    </w:p>
    <w:p>
      <w:pPr>
        <w:spacing w:after="40"/>
        <w:jc w:val="left"/>
      </w:pPr>
      <w:r>
        <w:rPr>
          <w:sz w:val="20"/>
        </w:rPr>
        <w:t>Universidad Estatal de Sonora, Ley Federal del Trabajo S/N, Col. Apolo, 83100 Hermosillo, Sonora, Mexico</w:t>
      </w:r>
    </w:p>
    <w:p>
      <w:pPr>
        <w:spacing w:after="280"/>
        <w:jc w:val="left"/>
      </w:pPr>
      <w:r>
        <w:rPr>
          <w:sz w:val="20"/>
        </w:rPr>
        <w:t>Corresponding author: andres.monreal@ues.mx</w:t>
      </w:r>
    </w:p>
    <w:p>
      <w:pPr>
        <w:keepNext/>
        <w:spacing w:after="80"/>
      </w:pPr>
      <w:r>
        <w:rPr>
          <w:b/>
          <w:sz w:val="20"/>
        </w:rPr>
        <w:t>Table S1</w:t>
      </w:r>
      <w:r>
        <w:rPr>
          <w:sz w:val="20"/>
        </w:rPr>
        <w:t xml:space="preserve"> </w:t>
      </w:r>
      <w:r>
        <w:rPr>
          <w:sz w:val="20"/>
        </w:rPr>
        <w:t>Compound identity. Every structure was taken from PubChem by name and checked by InChIKey; the last column states whether the structure used in an earlier version of this dataset already matched PubChem.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503" w:type="dxa"/>
      </w:tblPr>
      <w:tblGrid>
        <w:gridCol w:w="1700"/>
        <w:gridCol w:w="1587"/>
        <w:gridCol w:w="2040"/>
        <w:gridCol w:w="3174"/>
      </w:tblGrid>
      <w:tr>
        <w:tc>
          <w:tcPr>
            <w:tcW w:type="dxa" w:w="170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Compound</w:t>
            </w:r>
          </w:p>
        </w:tc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PubChem CID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Formula</w:t>
            </w:r>
          </w:p>
        </w:tc>
        <w:tc>
          <w:tcPr>
            <w:tcW w:type="dxa" w:w="317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Earlier structure correct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Olaparib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23725625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C24H23FN4O3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Talazoparib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135565082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C19H14F2N6O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Rucaparib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9931954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C19H18FN3O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Niraparib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24958200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C19H20N4O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Veliparib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11960529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C13H16N4O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Pamiparib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135565554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C16H15FN4O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Cisplatin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5702198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Cl2H6N2Pt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Carboplatin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426756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C6H12N2O4Pt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Oxaliplatin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9887053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C8H14N2O4Pt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Paclitaxel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36314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C47H51NO14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Docetaxel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148124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C43H53NO14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Cabazitaxel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9854073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C45H57NO14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Eribulin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11354606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C40H59NO11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Doxorubicin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31703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C27H29NO11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Epirubicin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41867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C27H29NO11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Etoposide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36462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C29H32O13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SN-38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104842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C22H20N2O5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Exatecan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151115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C24H22FN3O4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Topotecan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60700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C23H23N3O5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Alpelisib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56649450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C19H22F3N5O2S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Abemaciclib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46220502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C27H32F2N8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Palbociclib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5330286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C24H29N7O2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Ribociclib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44631912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C23H30N8O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Capivasertib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25227436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C21H25ClN6O2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Ipatasertib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24788740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C24H32ClN5O2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Cobimetinib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16222096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C21H21F3IN3O2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Trametinib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11707110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C26H23FIN5O4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Selumetinib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10127622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C17H15BrClFN4O3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Everolimus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6442177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C53H83NO14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Erlotinib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176870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C22H23N3O4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Lapatinib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208908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C29H26ClFN4O4S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corrected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Gefitinib</w:t>
            </w:r>
          </w:p>
        </w:tc>
        <w:tc>
          <w:tcPr>
            <w:tcW w:type="dxa" w:w="1587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123631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C22H24ClFN4O3</w:t>
            </w:r>
          </w:p>
        </w:tc>
        <w:tc>
          <w:tcPr>
            <w:tcW w:type="dxa" w:w="317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70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Osimertinib</w:t>
            </w:r>
          </w:p>
        </w:tc>
        <w:tc>
          <w:tcPr>
            <w:tcW w:type="dxa" w:w="158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71496458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C28H33N7O2</w:t>
            </w:r>
          </w:p>
        </w:tc>
        <w:tc>
          <w:tcPr>
            <w:tcW w:type="dxa" w:w="317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S2</w:t>
      </w:r>
      <w:r>
        <w:rPr>
          <w:sz w:val="20"/>
        </w:rPr>
        <w:t xml:space="preserve"> </w:t>
      </w:r>
      <w:r>
        <w:rPr>
          <w:sz w:val="20"/>
        </w:rPr>
        <w:t>Redocking controls for talazoparib (ligand 2YQ) in PARP1 chain A (PDB 4UND). RMSD: symmetry-corrected heavy-atom RMSD to the crystal pose, no re-alignment.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617" w:type="dxa"/>
      </w:tblPr>
      <w:tblGrid>
        <w:gridCol w:w="4081"/>
        <w:gridCol w:w="2267"/>
        <w:gridCol w:w="1247"/>
        <w:gridCol w:w="1020"/>
      </w:tblGrid>
      <w:tr>
        <w:tc>
          <w:tcPr>
            <w:tcW w:type="dxa" w:w="408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8"/>
              </w:rPr>
              <w:t>Control</w:t>
            </w:r>
          </w:p>
        </w:tc>
        <w:tc>
          <w:tcPr>
            <w:tcW w:type="dxa" w:w="22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Vina (kcal mol</w:t>
            </w:r>
            <w:r>
              <w:rPr>
                <w:b/>
                <w:sz w:val="18"/>
                <w:vertAlign w:val="superscript"/>
              </w:rPr>
              <w:t>−1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RMSD (Å)</w:t>
            </w:r>
          </w:p>
        </w:tc>
        <w:tc>
          <w:tcPr>
            <w:tcW w:type="dxa" w:w="102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self-redock, crystal conformation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−11.88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0.51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08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production protocol, from SMILES</w:t>
            </w:r>
          </w:p>
        </w:tc>
        <w:tc>
          <w:tcPr>
            <w:tcW w:type="dxa" w:w="22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−12.19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1.27</w:t>
            </w:r>
          </w:p>
        </w:tc>
        <w:tc>
          <w:tcPr>
            <w:tcW w:type="dxa" w:w="102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PASSED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S3</w:t>
      </w:r>
      <w:r>
        <w:rPr>
          <w:sz w:val="20"/>
        </w:rPr>
        <w:t xml:space="preserve"> </w:t>
      </w:r>
      <w:r>
        <w:rPr>
          <w:sz w:val="20"/>
        </w:rPr>
        <w:t>Per-drug results. Vina score on PARP1 (PDB 4UND); GFN2-xTB interaction and adsorption energies on B</w:t>
      </w:r>
      <w:r>
        <w:rPr>
          <w:sz w:val="20"/>
          <w:vertAlign w:val="subscript"/>
        </w:rPr>
        <w:t>36</w:t>
      </w:r>
      <w:r>
        <w:rPr>
          <w:sz w:val="20"/>
        </w:rPr>
        <w:t>N</w:t>
      </w:r>
      <w:r>
        <w:rPr>
          <w:sz w:val="20"/>
          <w:vertAlign w:val="subscript"/>
        </w:rPr>
        <w:t>36</w:t>
      </w:r>
      <w:r>
        <w:rPr>
          <w:sz w:val="20"/>
        </w:rPr>
        <w:t xml:space="preserve"> (kcal mol</w:t>
      </w:r>
      <w:r>
        <w:rPr>
          <w:sz w:val="20"/>
          <w:vertAlign w:val="superscript"/>
        </w:rPr>
        <w:t>−1</w:t>
      </w:r>
      <w:r>
        <w:rPr>
          <w:sz w:val="20"/>
        </w:rPr>
        <w:t>); closest drug–cage heavy-atom contact (Å); adsorption regime; whether the drug kept its own bonding in the complex.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320"/>
        <w:gridCol w:w="2377"/>
        <w:gridCol w:w="792"/>
        <w:gridCol w:w="792"/>
        <w:gridCol w:w="704"/>
        <w:gridCol w:w="880"/>
        <w:gridCol w:w="1409"/>
        <w:gridCol w:w="792"/>
      </w:tblGrid>
      <w:tr>
        <w:tc>
          <w:tcPr>
            <w:tcW w:type="dxa" w:w="132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Drug</w:t>
            </w:r>
          </w:p>
        </w:tc>
        <w:tc>
          <w:tcPr>
            <w:tcW w:type="dxa" w:w="237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Family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Vina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int</w:t>
            </w:r>
          </w:p>
        </w:tc>
        <w:tc>
          <w:tcPr>
            <w:tcW w:type="dxa" w:w="70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Δ</w:t>
            </w: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  <w:vertAlign w:val="subscript"/>
              </w:rPr>
              <w:t>ads</w:t>
            </w:r>
          </w:p>
        </w:tc>
        <w:tc>
          <w:tcPr>
            <w:tcW w:type="dxa" w:w="88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Contact</w:t>
            </w:r>
          </w:p>
        </w:tc>
        <w:tc>
          <w:tcPr>
            <w:tcW w:type="dxa" w:w="1409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Regime</w:t>
            </w:r>
          </w:p>
        </w:tc>
        <w:tc>
          <w:tcPr>
            <w:tcW w:type="dxa" w:w="79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Intact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Doxorubicin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−10.82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−176.1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−59.6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1.43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no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Eribulin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−62.6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Palbociclib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−56.4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Talazoparib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−12.19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−54.6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Erlotinib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−9.26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Abemaciclib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−9.48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−46.6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Capivasertib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−10.35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−45.2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−24.4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Paclitaxel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−9.59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−44.1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Topotecan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−10.50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−43.0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1.58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Niraparib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−42.5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1.74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Epirubicin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−11.15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−36.6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2.85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Docetaxel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−9.32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−41.0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−28.3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1.66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Cobimetinib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−39.3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−33.1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Lapatinib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−11.03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−35.6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2.59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Gefitinib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−9.46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−35.5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−30.1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2.88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Trametinib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−10.55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−29.7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Alpelisib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−9.29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−31.2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Etoposide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−12.01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−30.1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1.84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Selumetinib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−27.3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2.83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Everolimus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−7.76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−28.2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−29.2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2.31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Exatecan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−12.05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−27.7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−26.4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Osimertinib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−26.2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1.72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chemisorption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Ipatasertib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−10.29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−25.0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3.07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SN-38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−10.47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−23.9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1.76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Pamiparib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−11.91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−22.4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−21.8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2.76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Veliparib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−8.92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−16.9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−14.5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Rucaparib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−9.57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−16.7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−15.6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Cabazitaxel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cytotoxic agent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−9.02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−15.8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−15.7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3.19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Ribociclib</w:t>
            </w:r>
          </w:p>
        </w:tc>
        <w:tc>
          <w:tcPr>
            <w:tcW w:type="dxa" w:w="2378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kinase/pathway inhibitor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−9.96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−15.7</w:t>
            </w:r>
          </w:p>
        </w:tc>
        <w:tc>
          <w:tcPr>
            <w:tcW w:type="dxa" w:w="705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−15.2</w:t>
            </w:r>
          </w:p>
        </w:tc>
        <w:tc>
          <w:tcPr>
            <w:tcW w:type="dxa" w:w="88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2.90</w:t>
            </w:r>
          </w:p>
        </w:tc>
        <w:tc>
          <w:tcPr>
            <w:tcW w:type="dxa" w:w="1409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32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Olaparib</w:t>
            </w:r>
          </w:p>
        </w:tc>
        <w:tc>
          <w:tcPr>
            <w:tcW w:type="dxa" w:w="237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PARP inhibitor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−12.80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70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</w:t>
            </w:r>
          </w:p>
        </w:tc>
        <w:tc>
          <w:tcPr>
            <w:tcW w:type="dxa" w:w="88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3.28</w:t>
            </w:r>
          </w:p>
        </w:tc>
        <w:tc>
          <w:tcPr>
            <w:tcW w:type="dxa" w:w="1409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physisorption</w:t>
            </w:r>
          </w:p>
        </w:tc>
        <w:tc>
          <w:tcPr>
            <w:tcW w:type="dxa" w:w="79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yes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S4</w:t>
      </w:r>
      <w:r>
        <w:rPr>
          <w:sz w:val="20"/>
        </w:rPr>
        <w:t xml:space="preserve"> </w:t>
      </w:r>
      <w:r>
        <w:rPr>
          <w:sz w:val="20"/>
        </w:rPr>
        <w:t xml:space="preserve">QSPR models (ridge; descriptors MolWt, MolMR, </w:t>
      </w:r>
      <w:r>
        <w:rPr>
          <w:i/>
          <w:sz w:val="20"/>
        </w:rPr>
        <w:t>E</w:t>
      </w:r>
      <w:r>
        <w:rPr>
          <w:sz w:val="20"/>
          <w:vertAlign w:val="subscript"/>
        </w:rPr>
        <w:t>HOMO</w:t>
      </w:r>
      <w:r>
        <w:rPr>
          <w:sz w:val="20"/>
        </w:rPr>
        <w:t>, ω). Nested 5×5 cross-validation; Y-scrambling with 1,000 permutations through the same nested procedure; applicability domain by leverage (</w:t>
      </w:r>
      <w:r>
        <w:rPr>
          <w:i/>
          <w:sz w:val="20"/>
        </w:rPr>
        <w:t>h</w:t>
      </w:r>
      <w:r>
        <w:rPr>
          <w:sz w:val="20"/>
          <w:vertAlign w:val="superscript"/>
        </w:rPr>
        <w:t>*</w:t>
      </w:r>
      <w:r>
        <w:rPr>
          <w:sz w:val="20"/>
        </w:rPr>
        <w:t xml:space="preserve"> = 3(</w:t>
      </w:r>
      <w:r>
        <w:rPr>
          <w:i/>
          <w:sz w:val="20"/>
        </w:rPr>
        <w:t>p</w:t>
      </w:r>
      <w:r>
        <w:rPr>
          <w:sz w:val="20"/>
        </w:rPr>
        <w:t>+1)/</w:t>
      </w:r>
      <w:r>
        <w:rPr>
          <w:i/>
          <w:sz w:val="20"/>
        </w:rPr>
        <w:t>n</w:t>
      </w:r>
      <w:r>
        <w:rPr>
          <w:sz w:val="20"/>
        </w:rPr>
        <w:t>) and ±3 standardised residuals.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870"/>
        <w:gridCol w:w="467"/>
        <w:gridCol w:w="748"/>
        <w:gridCol w:w="748"/>
        <w:gridCol w:w="748"/>
        <w:gridCol w:w="1683"/>
        <w:gridCol w:w="748"/>
        <w:gridCol w:w="1122"/>
        <w:gridCol w:w="935"/>
      </w:tblGrid>
      <w:tr>
        <w:tc>
          <w:tcPr>
            <w:tcW w:type="dxa" w:w="187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6"/>
              </w:rPr>
              <w:t>Endpoint</w:t>
            </w:r>
          </w:p>
        </w:tc>
        <w:tc>
          <w:tcPr>
            <w:tcW w:type="dxa" w:w="4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n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Q</w:t>
            </w:r>
            <w:r>
              <w:rPr>
                <w:b/>
                <w:sz w:val="16"/>
                <w:vertAlign w:val="superscript"/>
              </w:rPr>
              <w:t>2</w:t>
            </w:r>
            <w:r>
              <w:rPr>
                <w:b/>
                <w:sz w:val="16"/>
                <w:vertAlign w:val="subscript"/>
              </w:rPr>
              <w:t>CV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RMSE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MAE</w:t>
            </w:r>
          </w:p>
        </w:tc>
        <w:tc>
          <w:tcPr>
            <w:tcW w:type="dxa" w:w="168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Q</w:t>
            </w:r>
            <w:r>
              <w:rPr>
                <w:b/>
                <w:sz w:val="16"/>
                <w:vertAlign w:val="superscript"/>
              </w:rPr>
              <w:t>2</w:t>
            </w:r>
            <w:r>
              <w:rPr>
                <w:b/>
                <w:sz w:val="16"/>
              </w:rPr>
              <w:t xml:space="preserve"> perm. (mean)</w:t>
            </w:r>
          </w:p>
        </w:tc>
        <w:tc>
          <w:tcPr>
            <w:tcW w:type="dxa" w:w="74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6"/>
              </w:rPr>
              <w:t>p</w:t>
            </w:r>
          </w:p>
        </w:tc>
        <w:tc>
          <w:tcPr>
            <w:tcW w:type="dxa" w:w="112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Inside AD</w:t>
            </w:r>
          </w:p>
        </w:tc>
        <w:tc>
          <w:tcPr>
            <w:tcW w:type="dxa" w:w="93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6"/>
              </w:rPr>
              <w:t>Ridge α</w:t>
            </w:r>
          </w:p>
        </w:tc>
      </w:tr>
      <w:tr>
        <w:tc>
          <w:tcPr>
            <w:tcW w:type="dxa" w:w="1870"/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Vina score, PARP1</w:t>
            </w:r>
          </w:p>
        </w:tc>
        <w:tc>
          <w:tcPr>
            <w:tcW w:type="dxa" w:w="46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−0.08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1.21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0.96</w:t>
            </w:r>
          </w:p>
        </w:tc>
        <w:tc>
          <w:tcPr>
            <w:tcW w:type="dxa" w:w="1683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−0.14</w:t>
            </w:r>
          </w:p>
        </w:tc>
        <w:tc>
          <w:tcPr>
            <w:tcW w:type="dxa" w:w="748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0.353</w:t>
            </w:r>
          </w:p>
        </w:tc>
        <w:tc>
          <w:tcPr>
            <w:tcW w:type="dxa" w:w="1122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29/30</w:t>
            </w:r>
          </w:p>
        </w:tc>
        <w:tc>
          <w:tcPr>
            <w:tcW w:type="dxa" w:w="935"/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0.562</w:t>
            </w:r>
          </w:p>
        </w:tc>
      </w:tr>
      <w:tr>
        <w:tc>
          <w:tcPr>
            <w:tcW w:type="dxa" w:w="187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6"/>
              </w:rPr>
              <w:t>Δ</w:t>
            </w:r>
            <w:r>
              <w:rPr>
                <w:i/>
                <w:sz w:val="16"/>
              </w:rPr>
              <w:t>E</w:t>
            </w:r>
            <w:r>
              <w:rPr>
                <w:sz w:val="16"/>
                <w:vertAlign w:val="subscript"/>
              </w:rPr>
              <w:t>int</w:t>
            </w:r>
            <w:r>
              <w:rPr>
                <w:sz w:val="16"/>
              </w:rPr>
              <w:t>, B</w:t>
            </w:r>
            <w:r>
              <w:rPr>
                <w:sz w:val="16"/>
                <w:vertAlign w:val="subscript"/>
              </w:rPr>
              <w:t>36</w:t>
            </w:r>
            <w:r>
              <w:rPr>
                <w:sz w:val="16"/>
              </w:rPr>
              <w:t>N</w:t>
            </w:r>
            <w:r>
              <w:rPr>
                <w:sz w:val="16"/>
                <w:vertAlign w:val="subscript"/>
              </w:rPr>
              <w:t>36</w:t>
            </w:r>
          </w:p>
        </w:tc>
        <w:tc>
          <w:tcPr>
            <w:tcW w:type="dxa" w:w="4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−0.08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13.88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11.73</w:t>
            </w:r>
          </w:p>
        </w:tc>
        <w:tc>
          <w:tcPr>
            <w:tcW w:type="dxa" w:w="168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−0.15</w:t>
            </w:r>
          </w:p>
        </w:tc>
        <w:tc>
          <w:tcPr>
            <w:tcW w:type="dxa" w:w="74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0.325</w:t>
            </w:r>
          </w:p>
        </w:tc>
        <w:tc>
          <w:tcPr>
            <w:tcW w:type="dxa" w:w="112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28/29</w:t>
            </w:r>
          </w:p>
        </w:tc>
        <w:tc>
          <w:tcPr>
            <w:tcW w:type="dxa" w:w="93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6"/>
              </w:rPr>
              <w:t>10</w:t>
            </w:r>
          </w:p>
        </w:tc>
      </w:tr>
    </w:tbl>
    <w:p>
      <w:pPr>
        <w:spacing w:after="80"/>
      </w:pPr>
    </w:p>
    <w:p>
      <w:pPr>
        <w:jc w:val="both"/>
      </w:pPr>
      <w:r>
        <w:rPr>
          <w:sz w:val="20"/>
        </w:rPr>
        <w:t xml:space="preserve">Standardised ridge coefficients (vina): MolWt +0.360, MolMR +0.151, E_HOMO_eV +0.282, Omega_eV -0.174. Per-fold </w:t>
      </w:r>
      <w:r>
        <w:rPr>
          <w:i/>
          <w:sz w:val="20"/>
        </w:rPr>
        <w:t>Q</w:t>
      </w:r>
      <w:r>
        <w:rPr>
          <w:sz w:val="20"/>
          <w:vertAlign w:val="superscript"/>
        </w:rPr>
        <w:t>2</w:t>
      </w:r>
      <w:r>
        <w:rPr>
          <w:sz w:val="20"/>
        </w:rPr>
        <w:t>: 0.29, -0.47, -0.64, 0.19, 0.03.</w:t>
      </w:r>
    </w:p>
    <w:p>
      <w:pPr>
        <w:jc w:val="both"/>
      </w:pPr>
      <w:r>
        <w:rPr>
          <w:sz w:val="20"/>
        </w:rPr>
        <w:t xml:space="preserve">Standardised ridge coefficients (dEint): MolWt -1.138, MolMR -0.459, E_HOMO_eV -0.429, Omega_eV -1.732. Per-fold </w:t>
      </w:r>
      <w:r>
        <w:rPr>
          <w:i/>
          <w:sz w:val="20"/>
        </w:rPr>
        <w:t>Q</w:t>
      </w:r>
      <w:r>
        <w:rPr>
          <w:sz w:val="20"/>
          <w:vertAlign w:val="superscript"/>
        </w:rPr>
        <w:t>2</w:t>
      </w:r>
      <w:r>
        <w:rPr>
          <w:sz w:val="20"/>
        </w:rPr>
        <w:t>: -0.03, -0.43, -0.01, -0.18, -45.96.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continuous" w:distance="28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Times New Roman" w:hAnsi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