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-7.3 kcal/mol, range -4.5 to -8.7)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0.00, n = 25); the docking-score QSPR is no better (Q2_CV = -0.33).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2.3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Figure 8) places 25/25 compounds inside the domain for the physisorption endpoint and 29/30 for the PARP1 docking endpoint (cobimetinib exceeds the warning leverage h*);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03_Supporting_Information_Monreal_Hernandez_et_al.docx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