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pStyle w:val="Heading1"/>
        <w:spacing w:before="280" w:after="120"/>
      </w:pPr>
      <w:r>
        <w:rPr>
          <w:rFonts w:ascii="Arial" w:hAnsi="Arial"/>
          <w:b/>
          <w:color w:val="0D47A1"/>
          <w:sz w:val="28"/>
        </w:rPr>
        <w:t>Abstract</w:t>
      </w:r>
    </w:p>
    <w:p>
      <w:pPr>
        <w:spacing w:after="120" w:line="276" w:lineRule="auto"/>
      </w:pPr>
      <w:r>
        <w:rPr>
          <w:b/>
        </w:rPr>
        <w:t xml:space="preserve">Context </w:t>
      </w:r>
      <w:r>
        <w:t>Triple-negative breast cancer (TNBC) lacks the estrogen, progesterone and HER2 receptors other subtypes can be targeted through. We evaluate the pristine inorganic boron nitride nanocage B36N36 as a drug-loading scaffold for 33 anti-TNBC therapeutics, combining GFN2-xTB adsorption modeling, AutoDock Vina docking against the human PARP1 catalytic domain (PDB ID: 4UND), and a leak-free cross-validated QSPR surrogate. Of 30 organic drugs modelled, 25 physisorb on the pristine cage (ΔE_int,SP = -6 to -31 kcal/mol) and 5 chemisorb, forming a covalent B-O or B-N bond (-43 to -186 kcal/mol). Docking gave Vina scores (mean -7.3 kcal/mol, range -4.5 to -8.7), reported only as an exploratory ranking since self-redocking failed within 4 Å. QSPR is non-predictive for both endpoints (Q2_CV = 0.00, n = 25, physisorption; Q2_CV = -0.33, docking) -- the chemisorption/physisorption dichotomy itself is the honest result of this exploratory study.</w:t>
      </w:r>
    </w:p>
    <w:p>
      <w:pPr>
        <w:spacing w:after="120" w:line="276" w:lineRule="auto"/>
      </w:pPr>
      <w:r>
        <w:rPr>
          <w:b/>
        </w:rPr>
        <w:t xml:space="preserve">Methods </w:t>
      </w:r>
      <w:r>
        <w:t>Each isolated drug, the pristine B36N36 cage, and every complex were geometry-optimized and evaluated at single point with GFN2-xTB (xtb v6.7.1, D4 dispersion, gas phase); reactivity indices were read directly from the xtb output. The human PARP1 catalytic domain (PDB ID: 4UND) was docked with AutoDock Vina v1.2.7; self-redocking did not reproduce the native pose within 2 Å, so scores are a relative ranking only. A four-descriptor RidgeCV surrogate was evaluated by a leak-free nested 5×5 cross-validation, with StandardScaler and Ridge strength fit only on each outer-training split; SHAP from an ExtraTrees fit ranked descriptors. The applicability domain follows OECD Principle 3 (Williams leverage).</w:t>
      </w:r>
    </w:p>
    <w:p>
      <w:pPr>
        <w:spacing w:after="320"/>
      </w:pPr>
      <w:r>
        <w:rPr>
          <w:rFonts w:ascii="Arial" w:hAnsi="Arial"/>
          <w:b/>
        </w:rPr>
        <w:t xml:space="preserve">Keywords: </w:t>
      </w:r>
      <w:r>
        <w:rPr>
          <w:i/>
        </w:rPr>
      </w:r>
      <w:r>
        <w:t>Boron Nitride Nanocage; B36N36; Triple-Negative Breast Cancer; PARP1; Molecular Docking; QSAR/QSPR.</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Experimental</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3.3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3.5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3.6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4. Summary</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Figure 8) places 25/25 compounds inside the domain for the physisorption endpoint and 29/30 for the PARP1 docking endpoint (cobimetinib exceeds the warning leverage h*);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03_Supporting_Information_Monreal_Hernandez_et_al.docx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