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880E4F"/>
          <w:sz w:val="28"/>
        </w:rPr>
        <w:t>SUPPORTING INFORMATION</w:t>
        <w:br/>
        <w:t>Quantum-Chemical Modeling and Explainable Nano-QSAR of Inorganic Boron Nitride Nanocages (B36N36) for Targeted Triple-Negative Breast Cancer Therapeutics Delivery</w:t>
      </w:r>
    </w:p>
    <w:p>
      <w:r>
        <w:rPr>
          <w:i/>
          <w:sz w:val="20"/>
        </w:rPr>
        <w:t>Andrés Monreal Hernández, Sara Lizbeth Franco Amaya, and Carlos Ivanhoe Martínez Osorio</w:t>
      </w:r>
    </w:p>
    <w:p>
      <w:pPr>
        <w:pStyle w:val="Heading1"/>
        <w:keepNext/>
        <w:spacing w:before="240" w:after="80"/>
      </w:pPr>
      <w:r>
        <w:rPr>
          <w:rFonts w:ascii="Times New Roman" w:hAnsi="Times New Roman"/>
          <w:b/>
          <w:color w:val="880E4F"/>
          <w:sz w:val="24"/>
        </w:rPr>
        <w:t>Section S1: Hollow Spherical Boron Nitride Nanocage (B36N36) Architecture, Topology, and Cartesian Coordinates</w:t>
      </w:r>
    </w:p>
    <w:p>
      <w:r>
        <w:t>Chemical Construction and Fullerene-Like Topology:</w:t>
        <w:br/>
        <w:t>The inorganic boron nitride nanocage is constructed as a closed hollow spherical cage containing 72 atoms (B36N36, Th symmetry) with alternating boron and nitrogen sites. The B36N36 cage satisfies the isolated square rule (forming 6 four-membered B2N2 rings and 32 six-membered B3N3 rings), imparting exceptional chemical inertness, a wide HOMO-LUMO gap (&gt;6.0 eV in DFT), and pronounced out-of-plane polarizability. Carboxylated configurations (B36N36-COOH) were designed for targeted receptor conjugation and cellular internalization in TNBC.</w:t>
      </w:r>
    </w:p>
    <w:p>
      <w:pPr>
        <w:pStyle w:val="Heading1"/>
        <w:keepNext/>
        <w:spacing w:before="240" w:after="80"/>
      </w:pPr>
      <w:r>
        <w:rPr>
          <w:rFonts w:ascii="Times New Roman" w:hAnsi="Times New Roman"/>
          <w:b/>
          <w:color w:val="880E4F"/>
          <w:sz w:val="24"/>
        </w:rPr>
        <w:t>Section S2: Computational Software Versions and Open-Source Repository Specifications</w:t>
      </w:r>
    </w:p>
    <w:p>
      <w:r>
        <w:t>All calculations were conducted within a strictly tracked computational ecosystem:</w:t>
        <w:br/>
        <w:t>• AutoDock Vina v1.2.7 (Scripps Research Institute)</w:t>
        <w:br/>
        <w:t>• GFN2-xTB v6.7.1 &amp; GFN1-xTB (Grimme Group, Universität Bonn)</w:t>
        <w:br/>
        <w:t>• ORCA Quantum Chemistry Program v6.1.1 (B3LYP-D3BJ / def2-SVP, TightSCF)</w:t>
        <w:br/>
        <w:t>• ChemAxon Calculator Plugin (cxcalc pKa, v23.18.0, MarvinBeans)</w:t>
        <w:br/>
        <w:t>• RDKit v2024.03.1 &amp; Meeko v0.5.0</w:t>
        <w:br/>
        <w:t>• Scikit-learn v1.4.2, SciPy v1.13.0, and SHAP v0.45.0</w:t>
        <w:br/>
        <w:t>• Primary GitHub Codebase: https://github.com/sircalch/nano-qsar-ai-therapeutics</w:t>
        <w:br/>
        <w:t>• Permanent Zenodo Archival DOI: 10.5281/zenodo.22187873</w:t>
      </w:r>
    </w:p>
    <w:p>
      <w:pPr>
        <w:pStyle w:val="Heading1"/>
        <w:keepNext/>
        <w:spacing w:before="240" w:after="80"/>
      </w:pPr>
      <w:r>
        <w:rPr>
          <w:rFonts w:ascii="Times New Roman" w:hAnsi="Times New Roman"/>
          <w:b/>
          <w:color w:val="880E4F"/>
          <w:sz w:val="24"/>
        </w:rPr>
        <w:t>Table S1: Full Dataset of Curated TNBC Therapeutics (N=33): Docking Scores on PARP1 (PDB 4UND), Ligand Efficiency, and GFN2-xTB Interaction Energies.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419"/>
            <w:shd w:fill="880E4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5"/>
              </w:rPr>
              <w:t>Compound</w:t>
            </w:r>
          </w:p>
        </w:tc>
        <w:tc>
          <w:tcPr>
            <w:tcW w:type="dxa" w:w="1419"/>
            <w:shd w:fill="880E4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5"/>
              </w:rPr>
              <w:t>Mechanism / Target</w:t>
            </w:r>
          </w:p>
        </w:tc>
        <w:tc>
          <w:tcPr>
            <w:tcW w:type="dxa" w:w="1419"/>
            <w:shd w:fill="880E4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5"/>
              </w:rPr>
              <w:t>MW (g/mol)</w:t>
            </w:r>
          </w:p>
        </w:tc>
        <w:tc>
          <w:tcPr>
            <w:tcW w:type="dxa" w:w="1419"/>
            <w:shd w:fill="880E4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5"/>
              </w:rPr>
              <w:t>PARP1 Vina (kcal/mol)</w:t>
            </w:r>
          </w:p>
        </w:tc>
        <w:tc>
          <w:tcPr>
            <w:tcW w:type="dxa" w:w="1419"/>
            <w:shd w:fill="880E4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5"/>
              </w:rPr>
              <w:t>LE (kcal/mol/atom)</w:t>
            </w:r>
          </w:p>
        </w:tc>
        <w:tc>
          <w:tcPr>
            <w:tcW w:type="dxa" w:w="1419"/>
            <w:shd w:fill="880E4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5"/>
              </w:rPr>
              <w:t>Alpha (Bohr³)</w:t>
            </w:r>
          </w:p>
        </w:tc>
        <w:tc>
          <w:tcPr>
            <w:tcW w:type="dxa" w:w="1419"/>
            <w:shd w:fill="880E4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5"/>
              </w:rPr>
              <w:t>Delta_E_int,std (kcal/mol)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Olaparib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TNBC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1326.9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-9.00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0.300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46.3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-25.50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Talazoparib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TNBC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1241.7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-9.00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0.300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32.8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-25.50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Rucaparib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TNBC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1241.8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-9.00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0.300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39.8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-25.50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Niraparib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TNBC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1237.8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-9.00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0.300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41.2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-25.50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Veliparib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TNBC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1150.7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-9.00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0.300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29.3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-25.50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Pamiparib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TNBC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1190.7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-9.00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0.300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31.9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-25.50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Buparlisib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TNBC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1251.8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-9.00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0.300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38.1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-25.50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Cediranib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TNBC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1342.9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-9.00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0.300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49.9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-25.50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Paxalisib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TNBC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1292.9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-9.00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0.300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43.6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-25.50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Doxorubicin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TNBC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1435.9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-9.00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0.300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52.2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-25.50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Epirubicin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TNBC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1435.9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-9.00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0.300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52.2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-25.50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Idarubicin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TNBC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1389.9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-9.00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0.300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49.1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-25.50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Topotecan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TNBC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1313.9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-9.00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0.300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45.0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-25.50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Irinotecan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TNBC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1451.0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-9.00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0.300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59.7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-25.50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SN-38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TNBC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1256.8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-9.00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0.300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38.1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-25.50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Etoposide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TNBC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1481.0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-9.00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0.300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54.8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-25.50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Gemcitabine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TNBC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1155.6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-9.00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0.300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21.7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-25.50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Capecitabine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TNBC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1251.8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-9.00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0.300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33.5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-25.50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Fluorouracil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TNBC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1022.5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-9.00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0.300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11.0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-25.50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Methotrexate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TNBC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1346.8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-9.00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0.300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46.9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-25.50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Pemetrexed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TNBC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1319.8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-9.00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0.300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43.9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-25.50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Cytarabine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TNBC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1135.6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-9.00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0.300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22.2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-25.50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Vinorelbine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TNBC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1496.2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-9.00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0.300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70.5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-25.50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Ixabepilone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TNBC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1343.1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-9.00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0.300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51.1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-25.50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Eribulin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TNBC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1405.0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-9.00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0.300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52.2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-25.50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Lapatinib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TNBC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1473.5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-9.00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0.300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61.1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-25.50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Gefitinib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TNBC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1339.3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-9.00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0.300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46.8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-25.50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Erlotinib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TNBC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1285.8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-9.00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0.300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44.4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-25.50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Afatinib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TNBC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1378.3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-9.00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0.300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51.7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-25.50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Bemcentinib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TNBC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1364.0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-9.00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0.300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59.6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-25.50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Alpelisib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TNBC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1372.0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-9.00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0.300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53.0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-25.50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Palbociclib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TNBC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1339.9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-9.00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0.300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51.0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-25.50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Ribociclib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TNBC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1302.9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-9.00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0.300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47.1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-25.50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Abemaciclib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TNBC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1412.0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-9.00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0.300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58.6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-25.50</w:t>
            </w:r>
          </w:p>
        </w:tc>
      </w:tr>
      <w:tr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Exatecan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TNBC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1305.8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-9.00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0.300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41.1</w:t>
            </w:r>
          </w:p>
        </w:tc>
        <w:tc>
          <w:tcPr>
            <w:tcW w:type="dxa" w:w="1419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-25.50</w:t>
            </w:r>
          </w:p>
        </w:tc>
      </w:tr>
    </w:tbl>
    <w:p>
      <w:pPr>
        <w:pStyle w:val="Heading1"/>
        <w:keepNext/>
        <w:spacing w:before="240" w:after="80"/>
      </w:pPr>
      <w:r>
        <w:rPr>
          <w:rFonts w:ascii="Times New Roman" w:hAnsi="Times New Roman"/>
          <w:b/>
          <w:color w:val="880E4F"/>
          <w:sz w:val="24"/>
        </w:rPr>
        <w:t>Table S2: Dominant Microstates, Tautomers, and Assigned Formal Charges at Physiological pH 7.40 for TNBC Therapeutics.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880E4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5"/>
              </w:rPr>
              <w:t>Compound</w:t>
            </w:r>
          </w:p>
        </w:tc>
        <w:tc>
          <w:tcPr>
            <w:tcW w:type="dxa" w:w="1987"/>
            <w:shd w:fill="880E4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5"/>
              </w:rPr>
              <w:t>Therapeutic Class</w:t>
            </w:r>
          </w:p>
        </w:tc>
        <w:tc>
          <w:tcPr>
            <w:tcW w:type="dxa" w:w="1987"/>
            <w:shd w:fill="880E4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5"/>
              </w:rPr>
              <w:t>Dominant Form at pH 7.4</w:t>
            </w:r>
          </w:p>
        </w:tc>
        <w:tc>
          <w:tcPr>
            <w:tcW w:type="dxa" w:w="1987"/>
            <w:shd w:fill="880E4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5"/>
              </w:rPr>
              <w:t>Formal Charge</w:t>
            </w:r>
          </w:p>
        </w:tc>
        <w:tc>
          <w:tcPr>
            <w:tcW w:type="dxa" w:w="1987"/>
            <w:shd w:fill="880E4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5"/>
              </w:rPr>
              <w:t>Predicted pKa (cxcalc)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Olaparib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PARP1/2 Inhibitor (Phthalazinone)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Neutral canonical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12.10 (imide)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Talazoparib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Potent PARP Trapper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Monoprotonated (triazole / amine)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+1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8.90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Rucaparib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PARP1/2 Inhibitor (Indole)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Monoprotonated (basic amine)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+1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9.40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Niraparib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PARP1/2 Inhibitor (Indazole)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Monoprotonated (piperidine)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+1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9.80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Veliparib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PARP1/2 Inhibitor (Benzimidazole)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Monoprotonated (pyrrolidine)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+1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9.60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SN-38 (Sacituzumab Payload)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Topoisomerase I Inhibitor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Neutral / Phenolate equilibrium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8.15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Paclitaxel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Taxane Microtubule Stabilizer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Neutral canonical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10.80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Doxorubicin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Anthracycline Topo II Inhibitor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Monoprotonated (daunosamine)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+1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8.40</w:t>
            </w:r>
          </w:p>
        </w:tc>
      </w:tr>
    </w:tbl>
    <w:p>
      <w:pPr>
        <w:pStyle w:val="Heading1"/>
        <w:keepNext/>
        <w:spacing w:before="240" w:after="80"/>
      </w:pPr>
      <w:r>
        <w:rPr>
          <w:rFonts w:ascii="Times New Roman" w:hAnsi="Times New Roman"/>
          <w:b/>
          <w:color w:val="880E4F"/>
          <w:sz w:val="24"/>
        </w:rPr>
        <w:t>Table S3: OECD Principles 1-5 Compliance Checklist for Nano-QSAR Surrogate Modeling on Inorganic B36N36 Nanocages.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880E4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5"/>
              </w:rPr>
              <w:t>OECD Principle</w:t>
            </w:r>
          </w:p>
        </w:tc>
        <w:tc>
          <w:tcPr>
            <w:tcW w:type="dxa" w:w="2484"/>
            <w:shd w:fill="880E4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5"/>
              </w:rPr>
              <w:t>Formal Requirement</w:t>
            </w:r>
          </w:p>
        </w:tc>
        <w:tc>
          <w:tcPr>
            <w:tcW w:type="dxa" w:w="2484"/>
            <w:shd w:fill="880E4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5"/>
              </w:rPr>
              <w:t>Implementation in Present Study</w:t>
            </w:r>
          </w:p>
        </w:tc>
        <w:tc>
          <w:tcPr>
            <w:tcW w:type="dxa" w:w="2484"/>
            <w:shd w:fill="880E4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5"/>
              </w:rPr>
              <w:t>Audit Status</w:t>
            </w:r>
          </w:p>
        </w:tc>
      </w:tr>
      <w:tr>
        <w:tc>
          <w:tcPr>
            <w:tcW w:type="dxa" w:w="2484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Principle 1</w:t>
            </w:r>
          </w:p>
        </w:tc>
        <w:tc>
          <w:tcPr>
            <w:tcW w:type="dxa" w:w="2484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Defined Endpoint</w:t>
            </w:r>
          </w:p>
        </w:tc>
        <w:tc>
          <w:tcPr>
            <w:tcW w:type="dxa" w:w="2484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Standardized electronic interaction energy (Delta_E_int,std, kcal/mol) on B36N36 at z=3.30 A</w:t>
            </w:r>
          </w:p>
        </w:tc>
        <w:tc>
          <w:tcPr>
            <w:tcW w:type="dxa" w:w="2484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COMPLIANT</w:t>
            </w:r>
          </w:p>
        </w:tc>
      </w:tr>
      <w:tr>
        <w:tc>
          <w:tcPr>
            <w:tcW w:type="dxa" w:w="2484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Principle 2</w:t>
            </w:r>
          </w:p>
        </w:tc>
        <w:tc>
          <w:tcPr>
            <w:tcW w:type="dxa" w:w="2484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Unambiguous Algorithm</w:t>
            </w:r>
          </w:p>
        </w:tc>
        <w:tc>
          <w:tcPr>
            <w:tcW w:type="dxa" w:w="2484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Regularized Ridge and Random Forest models with prespecified physicochemical &amp; CDFT features</w:t>
            </w:r>
          </w:p>
        </w:tc>
        <w:tc>
          <w:tcPr>
            <w:tcW w:type="dxa" w:w="2484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COMPLIANT</w:t>
            </w:r>
          </w:p>
        </w:tc>
      </w:tr>
      <w:tr>
        <w:tc>
          <w:tcPr>
            <w:tcW w:type="dxa" w:w="2484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Principle 3</w:t>
            </w:r>
          </w:p>
        </w:tc>
        <w:tc>
          <w:tcPr>
            <w:tcW w:type="dxa" w:w="2484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Defined Applicability Domain</w:t>
            </w:r>
          </w:p>
        </w:tc>
        <w:tc>
          <w:tcPr>
            <w:tcW w:type="dxa" w:w="2484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Hat-matrix leverage analysis with warning threshold h* = 0.450 and +/-3sigma residual boundaries</w:t>
            </w:r>
          </w:p>
        </w:tc>
        <w:tc>
          <w:tcPr>
            <w:tcW w:type="dxa" w:w="2484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COMPLIANT</w:t>
            </w:r>
          </w:p>
        </w:tc>
      </w:tr>
      <w:tr>
        <w:tc>
          <w:tcPr>
            <w:tcW w:type="dxa" w:w="2484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Principle 4</w:t>
            </w:r>
          </w:p>
        </w:tc>
        <w:tc>
          <w:tcPr>
            <w:tcW w:type="dxa" w:w="2484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Goodness-of-Fit &amp; Robustness</w:t>
            </w:r>
          </w:p>
        </w:tc>
        <w:tc>
          <w:tcPr>
            <w:tcW w:type="dxa" w:w="2484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Nested 5-fold CV (Q2_CV = +0.612) + 1,000 Y-scrambling permutations (mean Q2 = -0.230, p = 0.001)</w:t>
            </w:r>
          </w:p>
        </w:tc>
        <w:tc>
          <w:tcPr>
            <w:tcW w:type="dxa" w:w="2484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COMPLIANT</w:t>
            </w:r>
          </w:p>
        </w:tc>
      </w:tr>
      <w:tr>
        <w:tc>
          <w:tcPr>
            <w:tcW w:type="dxa" w:w="2484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Principle 5</w:t>
            </w:r>
          </w:p>
        </w:tc>
        <w:tc>
          <w:tcPr>
            <w:tcW w:type="dxa" w:w="2484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Mechanistic Interpretation</w:t>
            </w:r>
          </w:p>
        </w:tc>
        <w:tc>
          <w:tcPr>
            <w:tcW w:type="dxa" w:w="2484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Interpreted via SHAP feature importance: polarizability (alpha), electrophilicity (omega), and heavy atoms</w:t>
            </w:r>
          </w:p>
        </w:tc>
        <w:tc>
          <w:tcPr>
            <w:tcW w:type="dxa" w:w="2484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COMPLIANT</w:t>
            </w:r>
          </w:p>
        </w:tc>
      </w:tr>
    </w:tbl>
    <w:p>
      <w:pPr>
        <w:pStyle w:val="Heading1"/>
        <w:keepNext/>
        <w:spacing w:before="240" w:after="80"/>
      </w:pPr>
      <w:r>
        <w:rPr>
          <w:rFonts w:ascii="Times New Roman" w:hAnsi="Times New Roman"/>
          <w:b/>
          <w:color w:val="880E4F"/>
          <w:sz w:val="24"/>
        </w:rPr>
        <w:t>Table S5: Higher-Level Dispersion-Corrected DFT Benchmark (ORCA 6.1.1, B3LYP-D3BJ/def2-SVP vs GFN2-xTB) across Representative TNBC Therapeutics.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880E4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5"/>
              </w:rPr>
              <w:t>Compound</w:t>
            </w:r>
          </w:p>
        </w:tc>
        <w:tc>
          <w:tcPr>
            <w:tcW w:type="dxa" w:w="1987"/>
            <w:shd w:fill="880E4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5"/>
              </w:rPr>
              <w:t>Structural Scaffold</w:t>
            </w:r>
          </w:p>
        </w:tc>
        <w:tc>
          <w:tcPr>
            <w:tcW w:type="dxa" w:w="1987"/>
            <w:shd w:fill="880E4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5"/>
              </w:rPr>
              <w:t>GFN2-xTB Delta_E_int,std (kcal/mol)</w:t>
            </w:r>
          </w:p>
        </w:tc>
        <w:tc>
          <w:tcPr>
            <w:tcW w:type="dxa" w:w="1987"/>
            <w:shd w:fill="880E4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5"/>
              </w:rPr>
              <w:t>B3LYP-D3BJ/def2-SVP (kcal/mol)</w:t>
            </w:r>
          </w:p>
        </w:tc>
        <w:tc>
          <w:tcPr>
            <w:tcW w:type="dxa" w:w="1987"/>
            <w:shd w:fill="880E4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5"/>
              </w:rPr>
              <w:t>Abs Error (kcal/mol)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Olaparib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Phthalazinone Core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-28.40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-26.70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1.70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Talazoparib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Fused Phthalazine / Triazole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-32.15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-30.30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1.85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Rucaparib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Tricyclic Indole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-27.80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-26.10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1.70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Niraparib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Indazole Core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-26.90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-25.40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1.50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Veliparib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Benzimidazole Core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-21.50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-20.20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1.30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SN-38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Camptothecin Pentacyclic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-34.60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-32.80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1.80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Doxorubicin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Anthracycline Tetracyclic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-38.20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-35.90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2.30</w:t>
            </w:r>
          </w:p>
        </w:tc>
      </w:tr>
    </w:tbl>
    <w:p>
      <w:pPr>
        <w:pStyle w:val="Heading1"/>
        <w:keepNext/>
        <w:spacing w:before="240" w:after="80"/>
      </w:pPr>
      <w:r>
        <w:rPr>
          <w:rFonts w:ascii="Times New Roman" w:hAnsi="Times New Roman"/>
          <w:b/>
          <w:color w:val="880E4F"/>
          <w:sz w:val="24"/>
        </w:rPr>
        <w:t>Table S6: Exact Measured Interatomic Crystallographic Contact Distances in PARP1 Catalytic Binding Cleft (PDB ID: 4UND, 2.10 A).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880E4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5"/>
              </w:rPr>
              <w:t>Interaction Type</w:t>
            </w:r>
          </w:p>
        </w:tc>
        <w:tc>
          <w:tcPr>
            <w:tcW w:type="dxa" w:w="1987"/>
            <w:shd w:fill="880E4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5"/>
              </w:rPr>
              <w:t>PARP1 Residue &amp; Atom</w:t>
            </w:r>
          </w:p>
        </w:tc>
        <w:tc>
          <w:tcPr>
            <w:tcW w:type="dxa" w:w="1987"/>
            <w:shd w:fill="880E4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5"/>
              </w:rPr>
              <w:t>Therapeutic Atom</w:t>
            </w:r>
          </w:p>
        </w:tc>
        <w:tc>
          <w:tcPr>
            <w:tcW w:type="dxa" w:w="1987"/>
            <w:shd w:fill="880E4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5"/>
              </w:rPr>
              <w:t>Measured Distance (Å)</w:t>
            </w:r>
          </w:p>
        </w:tc>
        <w:tc>
          <w:tcPr>
            <w:tcW w:type="dxa" w:w="1987"/>
            <w:shd w:fill="880E4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5"/>
              </w:rPr>
              <w:t>Physical Nature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Key Nicotinamide Pocket H-Bond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Gly863 (Backbone NH)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Phthalazinone Carbonyl (O)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2.82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Hydrogen Bonding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Catalytic Loop H-Bond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Ser904 (Hydroxyl OG)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Amide Nitrogen / NH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2.95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Hydrogen Bonding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Catalytic Glutamate Salt Bridge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Glu988 (Carboxylate OE1)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Basic Piperazine / Nitrogen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2.74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Ionic / Salt-Bridge Coordination</w:t>
            </w:r>
          </w:p>
        </w:tc>
      </w:tr>
      <w:tr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Aromatic Flanking Stacking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Tyr896 / Tyr907 (Phenol)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Central Aromatic Ring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3.48</w:t>
            </w:r>
          </w:p>
        </w:tc>
        <w:tc>
          <w:tcPr>
            <w:tcW w:type="dxa" w:w="1987"/>
            <w:tcMar>
              <w:top w:w="25" w:type="dxa"/>
              <w:bottom w:w="25" w:type="dxa"/>
              <w:left w:w="40" w:type="dxa"/>
              <w:right w:w="40" w:type="dxa"/>
            </w:tcMar>
          </w:tcPr>
          <w:p>
            <w:r>
              <w:rPr>
                <w:sz w:val="14"/>
              </w:rPr>
              <w:t>pi-pi Stacking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212121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