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30/33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358454"/>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358454"/>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[38], computed from an exploratory ExtraTrees estimator fit on the full data, were used only to rank candidate descriptors and were not used to select or validate the reported RidgeCV surrogate. Compliance with OECD Principle 3 (domain of applicability) [34-36]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58695"/>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58695"/>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43725"/>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43725"/>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is a schematic 3D rendering illustrating the proposed binding motifs for the nanocarrier complexes, not a rendering of a GFN2-xTB optimized geometry (the underlying cage and ligand coordinates are illustrative). Panel (a) depicts the proposed non-covalent π-π stacking and dispersion-driven adsorption motif for Olaparib + B36N36; the real GFN2-xTB single-point interaction energy for this pair is -0.38 kcal/mol (Table 1), with a real relaxed-geometry value of -13.42 kcal/mol available for a curated 8-compound subset (Supporting Information). Panel (b) depicts a proposed carboxyl O-H...N hydrogen-bonding motif for a B36N36-COOH conjugate; no real structural or quantum data exists for the carboxylated cage, so no energetic value is reported for it.</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Schematic 3D representations of the proposed binding motifs (illustrative coordinates, not GFN2-xTB optimized geometries): (a) Olaparib + B36N36 pristine nanocage, proposed π-π stacking motif (real GFN2-xTB single-point ΔE_int = -0.38 kcal/mol; real relaxed-geometry value -13.42 kcal/mol for a curated subset); (b) proposed Talazoparib + B36N36-COOH carboxyl O-H···N hydrogen-bonding motif -- no real structural/quantum data exists for the carboxylated cage.</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30/33 compounds fall inside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30/33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A.; et al. DFTB+, a software package for efficient approximate density functional theory based atomistic simulations. The Journal of Chemical Physics 2020, 152 (12).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Journal of Chemical Theory and Computation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Chen, T.; Guestrin, C. XGBoost. Proceedings of the 22nd ACM SIGKDD International Conference on Knowledge Discovery and Data Mining 2016, 785-794. </w:t>
      </w:r>
      <w:r>
        <w:rPr>
          <w:i/>
          <w:color w:val="0D47A1"/>
          <w:sz w:val="18"/>
        </w:rPr>
        <w:t>doi:10.1145/2939672.2939785</w:t>
      </w:r>
    </w:p>
    <w:p>
      <w:pPr>
        <w:spacing w:after="60"/>
        <w:ind w:left="576"/>
      </w:pPr>
      <w:r>
        <w:rPr>
          <w:b/>
        </w:rPr>
        <w:t xml:space="preserve">41.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45.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