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Andrés Monreal Hernández, Ph.D.</w:t>
        <w:br/>
        <w:t>Universidad Estatal de Sonora, Hermosillo, Sonora, Mexico</w:t>
        <w:br/>
        <w:t>Email: andres.monreal@ues.mx | ORCID: 0009-0009-1207-8597</w:t>
      </w:r>
    </w:p>
    <w:p>
      <w:r>
        <w:t>To: The Editor-in-Chief, Journal of Molecular Modeling (Springer Nature)</w:t>
      </w:r>
    </w:p>
    <w:p>
      <w:r>
        <w:rPr>
          <w:b/>
        </w:rPr>
        <w:t>Subject: Submission of Original Research Article for Peer Review</w:t>
      </w:r>
    </w:p>
    <w:p>
      <w:r>
        <w:t>Dear Editor,</w:t>
      </w:r>
    </w:p>
    <w:p>
      <w:r>
        <w:t>On behalf of my co-authors (Sara Lizbeth Franco Amaya, Carlos Ivanhoe Martínez Osorio, and myself), I am pleased to submit our original research manuscript for consideration as a Full Research Article in the Journal of Molecular Modeling:</w:t>
      </w:r>
    </w:p>
    <w:p>
      <w:r>
        <w:rPr>
          <w:b/>
          <w:color w:val="0D47A1"/>
        </w:rPr>
        <w:t>“Explainable AI and Quantum-Guided QSAR/QSPR Modeling of Triple-Negative Breast Cancer Therapeutics Conjugated to Functionalized Boron Nitride Nanocages”</w:t>
      </w:r>
    </w:p>
    <w:p>
      <w:r>
        <w:t>The study integrates GFN2-xTB quantum-chemical adsorption modeling of 33 anti-TNBC therapeutics on the pristine inorganic boron nitride nanocage B36N36, AutoDock Vina docking against the human PARP1 catalytic domain (PDB ID: 4UND), and an explainable leak-free nested cross-validated surrogate -- squarely within the journal's scope in computational and theoretical chemistry.</w:t>
      </w:r>
    </w:p>
    <w:p>
      <w:r>
        <w:rPr>
          <w:b/>
        </w:rPr>
        <w:t>Key points, all traceable to the deposited pipeline:</w:t>
      </w:r>
    </w:p>
    <w:p>
      <w:pPr>
        <w:ind w:left="432"/>
      </w:pPr>
      <w:r>
        <w:t>GFN2-xTB single-point interaction energies for all 33 therapeutics on the B36N36 cage, computed from the xtb pipeline; frontier-orbital and conceptual-DFT indices are taken directly from the output, not from an empirical formula.</w:t>
      </w:r>
    </w:p>
    <w:p>
      <w:pPr>
        <w:ind w:left="432"/>
      </w:pPr>
      <w:r>
        <w:t>Redocking against the human PARP1 crystal structure (PDB ID: 4UND) did NOT reproduce the native ligand pose (heavy-atom RMSD &gt; 4 Å); the reported Vina scores are therefore treated as exploratory and are not used as a quantitative endpoint.</w:t>
      </w:r>
    </w:p>
    <w:p>
      <w:pPr>
        <w:ind w:left="432"/>
      </w:pPr>
      <w:r>
        <w:t>The surrogate model was evaluated with a leak-free nested 5x5 cross-validation on the real interaction energies. Predictive performance is low (Q2_CV near zero for both endpoints); we present the model and its feature-importance ranking as an honest exploratory baseline, not a validated predictor -- the chemisorption/physisorption dichotomy is the robust, model-free finding.</w:t>
      </w:r>
    </w:p>
    <w:p>
      <w:pPr>
        <w:ind w:left="432"/>
      </w:pPr>
      <w:r>
        <w:t>OECD Principle 3 applicability domain was assessed by Williams leverage on the real descriptor matrix (30/33 compounds inside the domain).</w:t>
      </w:r>
    </w:p>
    <w:p>
      <w:pPr>
        <w:ind w:left="432"/>
      </w:pPr>
      <w:r>
        <w:t>Fully automated open-source pipeline with the complete real dataset (Zenodo DOI 10.5281/zenodo.22187873), reproducing every value and figure in the manuscript.</w:t>
      </w:r>
    </w:p>
    <w:p>
      <w:r>
        <w:t>The manuscript is original, not under consideration elsewhere, and all authors approve the submission and declare no competing interests.</w:t>
      </w:r>
    </w:p>
    <w:p>
      <w:r>
        <w:t>Sincerely,</w:t>
        <w:br/>
        <w:t>Andrés Monreal Hernández, Ph.D. (Corresponding Author)</w:t>
        <w:br/>
        <w:t>Universidad Estatal de Sonora, Mexico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