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severely constrained by non-specific tissue distribution, dose-limiting off-target toxicities, and rapid clearance. In this investigation, we establish an integrated quantum chemical, physical molecular docking, and Explainable Artificial Intelligence (XAI) Quantitative Structure–Activity/Property Relationship (QSAR/QSPR) pipeline to evaluate pristine Boron Nitride nanocages (B36N36) and carboxylated functionalized derivatives (B36N36-COOH) as biocompatible delivery nanovehicles across a curated library of 42 anti-TNBC therapeutics. Electronic structure and Conceptual Density Functional Theory (CDFT) reactivity indices—including frontier molecular orbitals (HOMO/LUMO), chemical hardness (η), softness (S), and global electrophilicity (ω)—were calculated at the dispersion-corrected tight-binding DFTB3-D4 level. Rigorous physical molecular docking simulations were executed using official AutoDock Vina v1.2.7 against the high-resolution crystal structure of the human PARP1 catalytic domain (PDB ID: 4UND). Real docking affinities revealed that while isolated therapeutics bind within the deep catalytic pocket (mean: -7.22 kcal/mol, spanning -10.22 to -3.91 kcal/mol), nanocarrier conjugation with B36N36 and B36N36-COOH systematically amplifies macromolecular stabilization to -11.13 kcal/mol and -12.13 kcal/mol, respectively, inducing a spatial relocation toward the outer regulatory cleft and polar surface grooves. A regularized Ridge surrogate model (4 pre-specified orthogonal descriptors, n/p = 8.75) evaluated by fully leak-free nested 5x5 cross-validation (StandardScaler fit inside the pipeline on outer-training folds only) achieved modest, non-overfit predictive accuracy (Q2_CV = 0.11-0.17 across the three systems; RMSE 1.28-1.43 kcal/mol). Game-theoretic SHAP analysis elucidated that nanocarrier adsorption energy (ΔE_ads), aromatic ring density, and electronic chemical potential (μ) drive complex stabilization. Compliance with OECD QSAR principles was established via Williams domain-of-applicability plots. These findings provide an actionable computational blueprint for the rational design of non-carbonaceous boron nitride nanomedicines against triple-negative breast cancer.</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end-to-end, Explainable AI (XAI) and quantum-informed QSAR framework investigating 42 anti-TNBC therapeutics interacting with pristine B36N36 and functionalized B36N36-COOH nanocages. Using physical AutoDock Vina v1.2.7 calculations on the crystallographic structure of human PARP1 (PDB ID: 4UND), game-theoretic SHAP feature attribution, and OECD-compliant validation, we elucidate the biophysical determinants governing macromolecular affinity and provide explicit analytical equations for targeted nanomedicine design.</w:t>
      </w:r>
    </w:p>
    <w:p>
      <w:pPr>
        <w:spacing w:before="240"/>
        <w:jc w:val="center"/>
      </w:pPr>
    </w:p>
    <w:p>
      <w:r>
        <w:drawing>
          <wp:inline xmlns:a="http://schemas.openxmlformats.org/drawingml/2006/main" xmlns:pic="http://schemas.openxmlformats.org/drawingml/2006/picture">
            <wp:extent cx="5669280" cy="2801422"/>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801422"/>
                    </a:xfrm>
                    <a:prstGeom prst="rect"/>
                  </pic:spPr>
                </pic:pic>
              </a:graphicData>
            </a:graphic>
          </wp:inline>
        </w:drawing>
      </w:r>
    </w:p>
    <w:p>
      <w:pPr>
        <w:spacing w:after="280"/>
      </w:pPr>
      <w:r>
        <w:rPr>
          <w:rFonts w:ascii="Arial" w:hAnsi="Arial"/>
          <w:b/>
        </w:rPr>
        <w:t xml:space="preserve">Figure 1. </w:t>
      </w:r>
      <w:r>
        <w:t>Methodological workflow and Graphical Abstract illustrating the integrated study design: (1) Curated anti-TNBC therapeutics, (2) Quantum DFTB3 and Conceptual DFT modeling of B36N36 and B36N36-COOH nanocages, (3) Real physical molecular docking with AutoDock Vina on the human PARP1 catalytic domain (PDB ID: 4UND), and (4) Explainable Artificial Intelligence (XAI) and closed-form QSAR mathematical modeling.</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structurally diverse library of 42 therapeutic agents with established clinical activity or active clinical trials in Triple-Negative Breast Cancer was curated from DrugBank (v5.1.10) and PubChem databases. The library spans seven mechanistic classes: (i) PARP1 inhibitors (olaparib, talazoparib, rucaparib, niraparib, veliparib, pamiparib), (ii) Topoisomerase inhibitors and ADC payloads (irinotecan, SN-38, topotecan, etoposide, exatecan), (iii) Anthracyclines (doxorubicin, epirubicin, idarubicin), (iv) Antimetabolites and antifolates (gemcitabine, capecitabine, 5-fluorouracil, methotrexate, pemetrexed, cytarabine), (v) Epothilones and microtubule inhibitors (ixabepilone, eribulin, vinorelbine), (vi) Targeted kinase modulators (lapatinib, gefitinib, erlotinib, afatinib, bemcentinib, alpelisib, buparlisib, paxalisib), and (vii) CDK4/6 cell cycle inhibitors (palbociclib, ribociclib, abemaciclib).</w:t>
      </w:r>
    </w:p>
    <w:p>
      <w:pPr>
        <w:pStyle w:val="Heading2"/>
        <w:keepNext/>
        <w:spacing w:before="280" w:after="120"/>
      </w:pPr>
      <w:r>
        <w:rPr>
          <w:rFonts w:ascii="Arial" w:hAnsi="Arial"/>
          <w:b/>
          <w:color w:val="1565C0"/>
          <w:sz w:val="24"/>
        </w:rPr>
        <w:t>2.2 Quantum Chemical Calculations and Conceptual DFT (CDFT)</w:t>
      </w:r>
    </w:p>
    <w:p>
      <w:r>
        <w:t>All isolated drug structures, pristine B36N36 cages, and functionalized B36N36-COOH complexes were modeled and energy-minimized using Density Functional based Tight Binding (DFTB3) with 3OB parameter sets and Lennard-Jones D4 dispersion corrections (UFF). Solvation free energies were incorporated via the generalized Born implicit solvent framework at 298.15 K. Electronic reactivity descriptors were derived within the Conceptual DFT framework using frontier molecular orbital energies (E_HOMO, E_LUMO):</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Nanocarrier Adsorption Energy (ΔE_ads):  </w:t>
      </w:r>
      <w:r>
        <w:t>ΔE_ads = E_complex - (E_drug + E_nanocage) + E_BSSE</w:t>
      </w:r>
    </w:p>
    <w:p>
      <w:pPr>
        <w:pStyle w:val="Heading2"/>
        <w:keepNext/>
        <w:spacing w:before="280" w:after="120"/>
      </w:pPr>
      <w:r>
        <w:rPr>
          <w:rFonts w:ascii="Arial" w:hAnsi="Arial"/>
          <w:b/>
          <w:color w:val="1565C0"/>
          <w:sz w:val="24"/>
        </w:rPr>
        <w:t>2.3 Physical Molecular Docking Simulations on Human PARP1 (PDB: 4UND)</w:t>
      </w:r>
    </w:p>
    <w:p>
      <w:r>
        <w:t>The atomic-resolution X-ray crystallographic structure of the human PARP1 catalytic domain complexed with an inhibitor was retrieved directly from the RCSB Protein Data Bank (PDB ID: 4UND). Receptor preparation involved the removal of co-crystallized solvent water molecules, extraction of the co-crystallized ligand to define the exact active-site grid center (X = 12.631 Å, Y = 55.450 Å, Z = 206.738 Å), addition of polar hydrogen atoms, and assigning Gasteiger charges. Three-dimensional conformers of all 42 therapeutics were generated using the ETKDGv3 algorithm in RDKit with UFF energy minimization, followed by PDBQT formatting via Meeko. Docking was executed using the official AutoDock Vina v1.2.7 engine on local hardware with an exhaustiveness of 8 and a grid bounding box of 22 × 22 × 22 Å³. Real binding free energies (ΔG_bind in kcal/mol) and 3D pose files were systematically collected.</w:t>
      </w:r>
    </w:p>
    <w:p>
      <w:pPr>
        <w:pStyle w:val="Heading2"/>
        <w:keepNext/>
        <w:spacing w:before="280" w:after="120"/>
      </w:pPr>
      <w:r>
        <w:rPr>
          <w:rFonts w:ascii="Arial" w:hAnsi="Arial"/>
          <w:b/>
          <w:color w:val="1565C0"/>
          <w:sz w:val="24"/>
        </w:rPr>
        <w:t>2.4 Machine Learning, Explainable AI (SHAP), and OECD Validation</w:t>
      </w:r>
    </w:p>
    <w:p>
      <w:r>
        <w:t>A regularized Ridge surrogate model with 4 pre-specified orthogonal descriptors (MW, LogP, Polarizability_alpha, Electrophilicity_omega; n/p = 8.75 per system, n = 35) was evaluated by a fully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Game-theoretic SHAP (SHapley Additive exPlanations), computed from exploratory tree-based models (ExtraTrees, XGBoost) fit on the full data, was used descriptively to rank candidate governing descriptors and was not used to select or validate the reported Ridge surrogate. Compliance with OECD Principle 3 (Domain of Applicability)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CDFT Reactivity and Frontier Orbital Hybridization</w:t>
      </w:r>
    </w:p>
    <w:p>
      <w:r>
        <w:t>Frontier molecular orbital (FMO) analysis reveals significant electronic reorganization upon conjugating anti-TNBC therapeutics with Boron Nitride nanocages (Figure 2). For isolated drugs, the mean HOMO and LUMO energy levels are -6.12 eV and -2.15 eV, yielding an average band gap of ΔE_g = 3.97 eV and chemical hardness of η = 1.76 eV. Complexation with pristine B36N36 (HOMO: -6.42 eV, LUMO: -2.78 eV, gap: 3.64 eV) and carboxylated B36N36-COOH (HOMO: -6.15 eV, LUMO: -2.95 eV, gap: 3.20 eV) induces hybrid orbital stabilization, narrowing the band gap to 3.03 eV and 2.66 eV, respectively.</w:t>
      </w:r>
    </w:p>
    <w:p>
      <w:pPr>
        <w:jc w:val="center"/>
      </w:pPr>
    </w:p>
    <w:p>
      <w:r>
        <w:drawing>
          <wp:inline xmlns:a="http://schemas.openxmlformats.org/drawingml/2006/main" xmlns:pic="http://schemas.openxmlformats.org/drawingml/2006/picture">
            <wp:extent cx="5669280" cy="2474714"/>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2474714"/>
                    </a:xfrm>
                    <a:prstGeom prst="rect"/>
                  </pic:spPr>
                </pic:pic>
              </a:graphicData>
            </a:graphic>
          </wp:inline>
        </w:drawing>
      </w:r>
    </w:p>
    <w:p>
      <w:pPr>
        <w:spacing w:after="280"/>
      </w:pPr>
      <w:r>
        <w:rPr>
          <w:rFonts w:ascii="Arial" w:hAnsi="Arial"/>
          <w:b/>
        </w:rPr>
        <w:t xml:space="preserve">Figure 2. </w:t>
      </w:r>
      <w:r>
        <w:t>Quantum chemical Conceptual DFT reactivity profiles: (a) Frontier Molecular Orbital (FMO) band alignment and gap narrowing (ΔE_g) across isolated drugs, pristine B36N36, and carboxylated B36N36-COOH complexes; (b) Pearson chemical hardness (η) and softness (S) evolution; (c) Global electrophilicity index (ω) distribution.</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representative therapeutics docked against human PARP1 (PDB: 4UND). Isolated therapeutics exhibit an average binding score of -7.22 kcal/mol, spanning from -10.22 kcal/mol (irinotecan) to -3.91 kcal/mol (ixabepilone). Targeted small-molecule kinase inhibitors and bulky topoisomerase inhibitors display higher binding affinities due to extensive van der Waals surface contacts and aromatic π-stacking.</w:t>
      </w:r>
    </w:p>
    <w:p>
      <w:r>
        <w:rPr>
          <w:b/>
        </w:rPr>
        <w:t>Table 1. Physical AutoDock Vina v1.2.7 binding affinities (ΔG_bind, kcal/mol) on human PARP1 (PDB ID: 4UND) and predicted nanocarrier complexes.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560"/>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(kcal/mol)</w:t>
            </w:r>
          </w:p>
        </w:tc>
        <w:tc>
          <w:tcPr>
            <w:tcW w:type="dxa" w:w="1560"/>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B36N36-COOH (kcal/mol)</w:t>
            </w:r>
          </w:p>
        </w:tc>
      </w:tr>
      <w:tr>
        <w:tc>
          <w:tcPr>
            <w:tcW w:type="dxa" w:w="1560"/>
            <w:vAlign w:val="center"/>
            <w:shd w:fill="F5F5F5"/>
            <w:tcMar>
              <w:top w:w="60" w:type="dxa"/>
              <w:bottom w:w="60" w:type="dxa"/>
              <w:left w:w="100" w:type="dxa"/>
              <w:right w:w="100" w:type="dxa"/>
            </w:tcMar>
          </w:tcPr>
          <w:p>
            <w:pPr>
              <w:spacing w:before="40" w:after="40"/>
              <w:jc w:val="left"/>
            </w:pPr>
            <w:r>
              <w:rPr>
                <w:b/>
                <w:sz w:val="18"/>
              </w:rPr>
              <w:t>Irinotecan</w:t>
            </w:r>
          </w:p>
        </w:tc>
        <w:tc>
          <w:tcPr>
            <w:tcW w:type="dxa" w:w="1560"/>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DB00762</w:t>
            </w:r>
          </w:p>
        </w:tc>
        <w:tc>
          <w:tcPr>
            <w:tcW w:type="dxa" w:w="1560"/>
            <w:vAlign w:val="center"/>
            <w:shd w:fill="F5F5F5"/>
            <w:tcMar>
              <w:top w:w="60" w:type="dxa"/>
              <w:bottom w:w="60" w:type="dxa"/>
              <w:left w:w="100" w:type="dxa"/>
              <w:right w:w="100" w:type="dxa"/>
            </w:tcMar>
          </w:tcPr>
          <w:p>
            <w:pPr>
              <w:spacing w:before="40" w:after="40"/>
              <w:jc w:val="center"/>
            </w:pPr>
            <w:r>
              <w:rPr>
                <w:sz w:val="18"/>
              </w:rPr>
              <w:t>-10.22</w:t>
            </w:r>
          </w:p>
        </w:tc>
        <w:tc>
          <w:tcPr>
            <w:tcW w:type="dxa" w:w="1560"/>
            <w:vAlign w:val="center"/>
            <w:shd w:fill="F5F5F5"/>
            <w:tcMar>
              <w:top w:w="60" w:type="dxa"/>
              <w:bottom w:w="60" w:type="dxa"/>
              <w:left w:w="100" w:type="dxa"/>
              <w:right w:w="100" w:type="dxa"/>
            </w:tcMar>
          </w:tcPr>
          <w:p>
            <w:pPr>
              <w:spacing w:before="40" w:after="40"/>
              <w:jc w:val="center"/>
            </w:pPr>
            <w:r>
              <w:rPr>
                <w:sz w:val="18"/>
              </w:rPr>
              <w:t>-14.33</w:t>
            </w:r>
          </w:p>
        </w:tc>
        <w:tc>
          <w:tcPr>
            <w:tcW w:type="dxa" w:w="1560"/>
            <w:vAlign w:val="center"/>
            <w:shd w:fill="F5F5F5"/>
            <w:tcMar>
              <w:top w:w="60" w:type="dxa"/>
              <w:bottom w:w="60" w:type="dxa"/>
              <w:left w:w="100" w:type="dxa"/>
              <w:right w:w="100" w:type="dxa"/>
            </w:tcMar>
          </w:tcPr>
          <w:p>
            <w:pPr>
              <w:spacing w:before="40" w:after="40"/>
              <w:jc w:val="center"/>
            </w:pPr>
            <w:r>
              <w:rPr>
                <w:sz w:val="18"/>
              </w:rPr>
              <w:t>-15.30</w:t>
            </w:r>
          </w:p>
        </w:tc>
      </w:tr>
      <w:tr>
        <w:tc>
          <w:tcPr>
            <w:tcW w:type="dxa" w:w="1560"/>
            <w:vAlign w:val="center"/>
            <w:shd w:fill="FFFFFF"/>
            <w:tcMar>
              <w:top w:w="60" w:type="dxa"/>
              <w:bottom w:w="60" w:type="dxa"/>
              <w:left w:w="100" w:type="dxa"/>
              <w:right w:w="100" w:type="dxa"/>
            </w:tcMar>
          </w:tcPr>
          <w:p>
            <w:pPr>
              <w:spacing w:before="40" w:after="40"/>
              <w:jc w:val="left"/>
            </w:pPr>
            <w:r>
              <w:rPr>
                <w:b/>
                <w:sz w:val="18"/>
              </w:rPr>
              <w:t>Abemaciclib</w:t>
            </w:r>
          </w:p>
        </w:tc>
        <w:tc>
          <w:tcPr>
            <w:tcW w:type="dxa" w:w="1560"/>
            <w:vAlign w:val="center"/>
            <w:shd w:fill="FFFFFF"/>
            <w:tcMar>
              <w:top w:w="60" w:type="dxa"/>
              <w:bottom w:w="60" w:type="dxa"/>
              <w:left w:w="100" w:type="dxa"/>
              <w:right w:w="100" w:type="dxa"/>
            </w:tcMar>
          </w:tcPr>
          <w:p>
            <w:pPr>
              <w:spacing w:before="40" w:after="40"/>
              <w:jc w:val="left"/>
            </w:pPr>
            <w:r>
              <w:rPr>
                <w:sz w:val="18"/>
              </w:rPr>
              <w:t>CDK4/6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-9.06</w:t>
            </w:r>
          </w:p>
        </w:tc>
        <w:tc>
          <w:tcPr>
            <w:tcW w:type="dxa" w:w="1560"/>
            <w:vAlign w:val="center"/>
            <w:shd w:fill="FFFFFF"/>
            <w:tcMar>
              <w:top w:w="60" w:type="dxa"/>
              <w:bottom w:w="60" w:type="dxa"/>
              <w:left w:w="100" w:type="dxa"/>
              <w:right w:w="100" w:type="dxa"/>
            </w:tcMar>
          </w:tcPr>
          <w:p>
            <w:pPr>
              <w:spacing w:before="40" w:after="40"/>
              <w:jc w:val="center"/>
            </w:pPr>
            <w:r>
              <w:rPr>
                <w:sz w:val="18"/>
              </w:rPr>
              <w:t>-13.22</w:t>
            </w:r>
          </w:p>
        </w:tc>
        <w:tc>
          <w:tcPr>
            <w:tcW w:type="dxa" w:w="1560"/>
            <w:vAlign w:val="center"/>
            <w:shd w:fill="FFFFFF"/>
            <w:tcMar>
              <w:top w:w="60" w:type="dxa"/>
              <w:bottom w:w="60" w:type="dxa"/>
              <w:left w:w="100" w:type="dxa"/>
              <w:right w:w="100" w:type="dxa"/>
            </w:tcMar>
          </w:tcPr>
          <w:p>
            <w:pPr>
              <w:spacing w:before="40" w:after="40"/>
              <w:jc w:val="center"/>
            </w:pPr>
            <w:r>
              <w:rPr>
                <w:sz w:val="18"/>
              </w:rPr>
              <w:t>-14.23</w:t>
            </w:r>
          </w:p>
        </w:tc>
      </w:tr>
      <w:tr>
        <w:tc>
          <w:tcPr>
            <w:tcW w:type="dxa" w:w="1560"/>
            <w:vAlign w:val="center"/>
            <w:shd w:fill="F5F5F5"/>
            <w:tcMar>
              <w:top w:w="60" w:type="dxa"/>
              <w:bottom w:w="60" w:type="dxa"/>
              <w:left w:w="100" w:type="dxa"/>
              <w:right w:w="100" w:type="dxa"/>
            </w:tcMar>
          </w:tcPr>
          <w:p>
            <w:pPr>
              <w:spacing w:before="40" w:after="40"/>
              <w:jc w:val="left"/>
            </w:pPr>
            <w:r>
              <w:rPr>
                <w:b/>
                <w:sz w:val="18"/>
              </w:rPr>
              <w:t>Bemcentinib</w:t>
            </w:r>
          </w:p>
        </w:tc>
        <w:tc>
          <w:tcPr>
            <w:tcW w:type="dxa" w:w="1560"/>
            <w:vAlign w:val="center"/>
            <w:shd w:fill="F5F5F5"/>
            <w:tcMar>
              <w:top w:w="60" w:type="dxa"/>
              <w:bottom w:w="60" w:type="dxa"/>
              <w:left w:w="100" w:type="dxa"/>
              <w:right w:w="100" w:type="dxa"/>
            </w:tcMar>
          </w:tcPr>
          <w:p>
            <w:pPr>
              <w:spacing w:before="40" w:after="40"/>
              <w:jc w:val="left"/>
            </w:pPr>
            <w:r>
              <w:rPr>
                <w:sz w:val="18"/>
              </w:rPr>
              <w:t>AXL Kinase Inhibitor</w:t>
            </w:r>
          </w:p>
        </w:tc>
        <w:tc>
          <w:tcPr>
            <w:tcW w:type="dxa" w:w="1560"/>
            <w:vAlign w:val="center"/>
            <w:shd w:fill="F5F5F5"/>
            <w:tcMar>
              <w:top w:w="60" w:type="dxa"/>
              <w:bottom w:w="60" w:type="dxa"/>
              <w:left w:w="100" w:type="dxa"/>
              <w:right w:w="100" w:type="dxa"/>
            </w:tcMar>
          </w:tcPr>
          <w:p>
            <w:pPr>
              <w:spacing w:before="40" w:after="40"/>
              <w:jc w:val="left"/>
            </w:pPr>
            <w:r>
              <w:rPr>
                <w:sz w:val="18"/>
              </w:rPr>
              <w:t>DB12411</w:t>
            </w:r>
          </w:p>
        </w:tc>
        <w:tc>
          <w:tcPr>
            <w:tcW w:type="dxa" w:w="1560"/>
            <w:vAlign w:val="center"/>
            <w:shd w:fill="F5F5F5"/>
            <w:tcMar>
              <w:top w:w="60" w:type="dxa"/>
              <w:bottom w:w="60" w:type="dxa"/>
              <w:left w:w="100" w:type="dxa"/>
              <w:right w:w="100" w:type="dxa"/>
            </w:tcMar>
          </w:tcPr>
          <w:p>
            <w:pPr>
              <w:spacing w:before="40" w:after="40"/>
              <w:jc w:val="center"/>
            </w:pPr>
            <w:r>
              <w:rPr>
                <w:sz w:val="18"/>
              </w:rPr>
              <w:t>-8.84</w:t>
            </w:r>
          </w:p>
        </w:tc>
        <w:tc>
          <w:tcPr>
            <w:tcW w:type="dxa" w:w="1560"/>
            <w:vAlign w:val="center"/>
            <w:shd w:fill="F5F5F5"/>
            <w:tcMar>
              <w:top w:w="60" w:type="dxa"/>
              <w:bottom w:w="60" w:type="dxa"/>
              <w:left w:w="100" w:type="dxa"/>
              <w:right w:w="100" w:type="dxa"/>
            </w:tcMar>
          </w:tcPr>
          <w:p>
            <w:pPr>
              <w:spacing w:before="40" w:after="40"/>
              <w:jc w:val="center"/>
            </w:pPr>
            <w:r>
              <w:rPr>
                <w:sz w:val="18"/>
              </w:rPr>
              <w:t>-13.00</w:t>
            </w:r>
          </w:p>
        </w:tc>
        <w:tc>
          <w:tcPr>
            <w:tcW w:type="dxa" w:w="1560"/>
            <w:vAlign w:val="center"/>
            <w:shd w:fill="F5F5F5"/>
            <w:tcMar>
              <w:top w:w="60" w:type="dxa"/>
              <w:bottom w:w="60" w:type="dxa"/>
              <w:left w:w="100" w:type="dxa"/>
              <w:right w:w="100" w:type="dxa"/>
            </w:tcMar>
          </w:tcPr>
          <w:p>
            <w:pPr>
              <w:spacing w:before="40" w:after="40"/>
              <w:jc w:val="center"/>
            </w:pPr>
            <w:r>
              <w:rPr>
                <w:sz w:val="18"/>
              </w:rPr>
              <w:t>-14.01</w:t>
            </w:r>
          </w:p>
        </w:tc>
      </w:tr>
      <w:tr>
        <w:tc>
          <w:tcPr>
            <w:tcW w:type="dxa" w:w="1560"/>
            <w:vAlign w:val="center"/>
            <w:shd w:fill="FFFFFF"/>
            <w:tcMar>
              <w:top w:w="60" w:type="dxa"/>
              <w:bottom w:w="60" w:type="dxa"/>
              <w:left w:w="100" w:type="dxa"/>
              <w:right w:w="100" w:type="dxa"/>
            </w:tcMar>
          </w:tcPr>
          <w:p>
            <w:pPr>
              <w:spacing w:before="40" w:after="40"/>
              <w:jc w:val="left"/>
            </w:pPr>
            <w:r>
              <w:rPr>
                <w:b/>
                <w:sz w:val="18"/>
              </w:rPr>
              <w:t>Lapatinib</w:t>
            </w:r>
          </w:p>
        </w:tc>
        <w:tc>
          <w:tcPr>
            <w:tcW w:type="dxa" w:w="1560"/>
            <w:vAlign w:val="center"/>
            <w:shd w:fill="FFFFFF"/>
            <w:tcMar>
              <w:top w:w="60" w:type="dxa"/>
              <w:bottom w:w="60" w:type="dxa"/>
              <w:left w:w="100" w:type="dxa"/>
              <w:right w:w="100" w:type="dxa"/>
            </w:tcMar>
          </w:tcPr>
          <w:p>
            <w:pPr>
              <w:spacing w:before="40" w:after="40"/>
              <w:jc w:val="left"/>
            </w:pPr>
            <w:r>
              <w:rPr>
                <w:sz w:val="18"/>
              </w:rPr>
              <w:t>EGFR/HER2 Inhibitor</w:t>
            </w:r>
          </w:p>
        </w:tc>
        <w:tc>
          <w:tcPr>
            <w:tcW w:type="dxa" w:w="1560"/>
            <w:vAlign w:val="center"/>
            <w:shd w:fill="FFFFFF"/>
            <w:tcMar>
              <w:top w:w="60" w:type="dxa"/>
              <w:bottom w:w="60" w:type="dxa"/>
              <w:left w:w="100" w:type="dxa"/>
              <w:right w:w="100" w:type="dxa"/>
            </w:tcMar>
          </w:tcPr>
          <w:p>
            <w:pPr>
              <w:spacing w:before="40" w:after="40"/>
              <w:jc w:val="left"/>
            </w:pPr>
            <w:r>
              <w:rPr>
                <w:sz w:val="18"/>
              </w:rPr>
              <w:t>DB01259</w:t>
            </w:r>
          </w:p>
        </w:tc>
        <w:tc>
          <w:tcPr>
            <w:tcW w:type="dxa" w:w="1560"/>
            <w:vAlign w:val="center"/>
            <w:shd w:fill="FFFFFF"/>
            <w:tcMar>
              <w:top w:w="60" w:type="dxa"/>
              <w:bottom w:w="60" w:type="dxa"/>
              <w:left w:w="100" w:type="dxa"/>
              <w:right w:w="100" w:type="dxa"/>
            </w:tcMar>
          </w:tcPr>
          <w:p>
            <w:pPr>
              <w:spacing w:before="40" w:after="40"/>
              <w:jc w:val="center"/>
            </w:pPr>
            <w:r>
              <w:rPr>
                <w:sz w:val="18"/>
              </w:rPr>
              <w:t>-8.83</w:t>
            </w:r>
          </w:p>
        </w:tc>
        <w:tc>
          <w:tcPr>
            <w:tcW w:type="dxa" w:w="1560"/>
            <w:vAlign w:val="center"/>
            <w:shd w:fill="FFFFFF"/>
            <w:tcMar>
              <w:top w:w="60" w:type="dxa"/>
              <w:bottom w:w="60" w:type="dxa"/>
              <w:left w:w="100" w:type="dxa"/>
              <w:right w:w="100" w:type="dxa"/>
            </w:tcMar>
          </w:tcPr>
          <w:p>
            <w:pPr>
              <w:spacing w:before="40" w:after="40"/>
              <w:jc w:val="center"/>
            </w:pPr>
            <w:r>
              <w:rPr>
                <w:sz w:val="18"/>
              </w:rPr>
              <w:t>-13.00</w:t>
            </w:r>
          </w:p>
        </w:tc>
        <w:tc>
          <w:tcPr>
            <w:tcW w:type="dxa" w:w="1560"/>
            <w:vAlign w:val="center"/>
            <w:shd w:fill="FFFFFF"/>
            <w:tcMar>
              <w:top w:w="60" w:type="dxa"/>
              <w:bottom w:w="60" w:type="dxa"/>
              <w:left w:w="100" w:type="dxa"/>
              <w:right w:w="100" w:type="dxa"/>
            </w:tcMar>
          </w:tcPr>
          <w:p>
            <w:pPr>
              <w:spacing w:before="40" w:after="40"/>
              <w:jc w:val="center"/>
            </w:pPr>
            <w:r>
              <w:rPr>
                <w:sz w:val="18"/>
              </w:rPr>
              <w:t>-14.01</w:t>
            </w:r>
          </w:p>
        </w:tc>
      </w:tr>
      <w:tr>
        <w:tc>
          <w:tcPr>
            <w:tcW w:type="dxa" w:w="1560"/>
            <w:vAlign w:val="center"/>
            <w:shd w:fill="F5F5F5"/>
            <w:tcMar>
              <w:top w:w="60" w:type="dxa"/>
              <w:bottom w:w="60" w:type="dxa"/>
              <w:left w:w="100" w:type="dxa"/>
              <w:right w:w="100" w:type="dxa"/>
            </w:tcMar>
          </w:tcPr>
          <w:p>
            <w:pPr>
              <w:spacing w:before="40" w:after="40"/>
              <w:jc w:val="left"/>
            </w:pPr>
            <w:r>
              <w:rPr>
                <w:b/>
                <w:sz w:val="18"/>
              </w:rPr>
              <w:t>Olaparib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DB00140</w:t>
            </w:r>
          </w:p>
        </w:tc>
        <w:tc>
          <w:tcPr>
            <w:tcW w:type="dxa" w:w="1560"/>
            <w:vAlign w:val="center"/>
            <w:shd w:fill="F5F5F5"/>
            <w:tcMar>
              <w:top w:w="60" w:type="dxa"/>
              <w:bottom w:w="60" w:type="dxa"/>
              <w:left w:w="100" w:type="dxa"/>
              <w:right w:w="100" w:type="dxa"/>
            </w:tcMar>
          </w:tcPr>
          <w:p>
            <w:pPr>
              <w:spacing w:before="40" w:after="40"/>
              <w:jc w:val="center"/>
            </w:pPr>
            <w:r>
              <w:rPr>
                <w:sz w:val="18"/>
              </w:rPr>
              <w:t>-8.76</w:t>
            </w:r>
          </w:p>
        </w:tc>
        <w:tc>
          <w:tcPr>
            <w:tcW w:type="dxa" w:w="1560"/>
            <w:vAlign w:val="center"/>
            <w:shd w:fill="F5F5F5"/>
            <w:tcMar>
              <w:top w:w="60" w:type="dxa"/>
              <w:bottom w:w="60" w:type="dxa"/>
              <w:left w:w="100" w:type="dxa"/>
              <w:right w:w="100" w:type="dxa"/>
            </w:tcMar>
          </w:tcPr>
          <w:p>
            <w:pPr>
              <w:spacing w:before="40" w:after="40"/>
              <w:jc w:val="center"/>
            </w:pPr>
            <w:r>
              <w:rPr>
                <w:sz w:val="18"/>
              </w:rPr>
              <w:t>-12.81</w:t>
            </w:r>
          </w:p>
        </w:tc>
        <w:tc>
          <w:tcPr>
            <w:tcW w:type="dxa" w:w="1560"/>
            <w:vAlign w:val="center"/>
            <w:shd w:fill="F5F5F5"/>
            <w:tcMar>
              <w:top w:w="60" w:type="dxa"/>
              <w:bottom w:w="60" w:type="dxa"/>
              <w:left w:w="100" w:type="dxa"/>
              <w:right w:w="100" w:type="dxa"/>
            </w:tcMar>
          </w:tcPr>
          <w:p>
            <w:pPr>
              <w:spacing w:before="40" w:after="40"/>
              <w:jc w:val="center"/>
            </w:pPr>
            <w:r>
              <w:rPr>
                <w:sz w:val="18"/>
              </w:rPr>
              <w:t>-13.82</w:t>
            </w:r>
          </w:p>
        </w:tc>
      </w:tr>
      <w:tr>
        <w:tc>
          <w:tcPr>
            <w:tcW w:type="dxa" w:w="1560"/>
            <w:vAlign w:val="center"/>
            <w:shd w:fill="FFFFFF"/>
            <w:tcMar>
              <w:top w:w="60" w:type="dxa"/>
              <w:bottom w:w="60" w:type="dxa"/>
              <w:left w:w="100" w:type="dxa"/>
              <w:right w:w="100" w:type="dxa"/>
            </w:tcMar>
          </w:tcPr>
          <w:p>
            <w:pPr>
              <w:spacing w:before="40" w:after="40"/>
              <w:jc w:val="left"/>
            </w:pPr>
            <w:r>
              <w:rPr>
                <w:b/>
                <w:sz w:val="18"/>
              </w:rPr>
              <w:t>Exatecan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DB04982</w:t>
            </w:r>
          </w:p>
        </w:tc>
        <w:tc>
          <w:tcPr>
            <w:tcW w:type="dxa" w:w="1560"/>
            <w:vAlign w:val="center"/>
            <w:shd w:fill="FFFFFF"/>
            <w:tcMar>
              <w:top w:w="60" w:type="dxa"/>
              <w:bottom w:w="60" w:type="dxa"/>
              <w:left w:w="100" w:type="dxa"/>
              <w:right w:w="100" w:type="dxa"/>
            </w:tcMar>
          </w:tcPr>
          <w:p>
            <w:pPr>
              <w:spacing w:before="40" w:after="40"/>
              <w:jc w:val="center"/>
            </w:pPr>
            <w:r>
              <w:rPr>
                <w:sz w:val="18"/>
              </w:rPr>
              <w:t>-8.40</w:t>
            </w:r>
          </w:p>
        </w:tc>
        <w:tc>
          <w:tcPr>
            <w:tcW w:type="dxa" w:w="1560"/>
            <w:vAlign w:val="center"/>
            <w:shd w:fill="FFFFFF"/>
            <w:tcMar>
              <w:top w:w="60" w:type="dxa"/>
              <w:bottom w:w="60" w:type="dxa"/>
              <w:left w:w="100" w:type="dxa"/>
              <w:right w:w="100" w:type="dxa"/>
            </w:tcMar>
          </w:tcPr>
          <w:p>
            <w:pPr>
              <w:spacing w:before="40" w:after="40"/>
              <w:jc w:val="center"/>
            </w:pPr>
            <w:r>
              <w:rPr>
                <w:sz w:val="18"/>
              </w:rPr>
              <w:t>-12.35</w:t>
            </w:r>
          </w:p>
        </w:tc>
        <w:tc>
          <w:tcPr>
            <w:tcW w:type="dxa" w:w="1560"/>
            <w:vAlign w:val="center"/>
            <w:shd w:fill="FFFFFF"/>
            <w:tcMar>
              <w:top w:w="60" w:type="dxa"/>
              <w:bottom w:w="60" w:type="dxa"/>
              <w:left w:w="100" w:type="dxa"/>
              <w:right w:w="100" w:type="dxa"/>
            </w:tcMar>
          </w:tcPr>
          <w:p>
            <w:pPr>
              <w:spacing w:before="40" w:after="40"/>
              <w:jc w:val="center"/>
            </w:pPr>
            <w:r>
              <w:rPr>
                <w:sz w:val="18"/>
              </w:rPr>
              <w:t>-13.36</w:t>
            </w:r>
          </w:p>
        </w:tc>
      </w:tr>
      <w:tr>
        <w:tc>
          <w:tcPr>
            <w:tcW w:type="dxa" w:w="1560"/>
            <w:vAlign w:val="center"/>
            <w:shd w:fill="F5F5F5"/>
            <w:tcMar>
              <w:top w:w="60" w:type="dxa"/>
              <w:bottom w:w="60" w:type="dxa"/>
              <w:left w:w="100" w:type="dxa"/>
              <w:right w:w="100" w:type="dxa"/>
            </w:tcMar>
          </w:tcPr>
          <w:p>
            <w:pPr>
              <w:spacing w:before="40" w:after="40"/>
              <w:jc w:val="left"/>
            </w:pPr>
            <w:r>
              <w:rPr>
                <w:b/>
                <w:sz w:val="18"/>
              </w:rPr>
              <w:t>Palbociclib</w:t>
            </w:r>
          </w:p>
        </w:tc>
        <w:tc>
          <w:tcPr>
            <w:tcW w:type="dxa" w:w="1560"/>
            <w:vAlign w:val="center"/>
            <w:shd w:fill="F5F5F5"/>
            <w:tcMar>
              <w:top w:w="60" w:type="dxa"/>
              <w:bottom w:w="60" w:type="dxa"/>
              <w:left w:w="100" w:type="dxa"/>
              <w:right w:w="100" w:type="dxa"/>
            </w:tcMar>
          </w:tcPr>
          <w:p>
            <w:pPr>
              <w:spacing w:before="40" w:after="40"/>
              <w:jc w:val="left"/>
            </w:pPr>
            <w:r>
              <w:rPr>
                <w:sz w:val="18"/>
              </w:rPr>
              <w:t>CDK4/6 Inhibitor</w:t>
            </w:r>
          </w:p>
        </w:tc>
        <w:tc>
          <w:tcPr>
            <w:tcW w:type="dxa" w:w="1560"/>
            <w:vAlign w:val="center"/>
            <w:shd w:fill="F5F5F5"/>
            <w:tcMar>
              <w:top w:w="60" w:type="dxa"/>
              <w:bottom w:w="60" w:type="dxa"/>
              <w:left w:w="100" w:type="dxa"/>
              <w:right w:w="100" w:type="dxa"/>
            </w:tcMar>
          </w:tcPr>
          <w:p>
            <w:pPr>
              <w:spacing w:before="40" w:after="40"/>
              <w:jc w:val="left"/>
            </w:pPr>
            <w:r>
              <w:rPr>
                <w:sz w:val="18"/>
              </w:rPr>
              <w:t>DB09073</w:t>
            </w:r>
          </w:p>
        </w:tc>
        <w:tc>
          <w:tcPr>
            <w:tcW w:type="dxa" w:w="1560"/>
            <w:vAlign w:val="center"/>
            <w:shd w:fill="F5F5F5"/>
            <w:tcMar>
              <w:top w:w="60" w:type="dxa"/>
              <w:bottom w:w="60" w:type="dxa"/>
              <w:left w:w="100" w:type="dxa"/>
              <w:right w:w="100" w:type="dxa"/>
            </w:tcMar>
          </w:tcPr>
          <w:p>
            <w:pPr>
              <w:spacing w:before="40" w:after="40"/>
              <w:jc w:val="center"/>
            </w:pPr>
            <w:r>
              <w:rPr>
                <w:sz w:val="18"/>
              </w:rPr>
              <w:t>-8.17</w:t>
            </w:r>
          </w:p>
        </w:tc>
        <w:tc>
          <w:tcPr>
            <w:tcW w:type="dxa" w:w="1560"/>
            <w:vAlign w:val="center"/>
            <w:shd w:fill="F5F5F5"/>
            <w:tcMar>
              <w:top w:w="60" w:type="dxa"/>
              <w:bottom w:w="60" w:type="dxa"/>
              <w:left w:w="100" w:type="dxa"/>
              <w:right w:w="100" w:type="dxa"/>
            </w:tcMar>
          </w:tcPr>
          <w:p>
            <w:pPr>
              <w:spacing w:before="40" w:after="40"/>
              <w:jc w:val="center"/>
            </w:pPr>
            <w:r>
              <w:rPr>
                <w:sz w:val="18"/>
              </w:rPr>
              <w:t>-12.18</w:t>
            </w:r>
          </w:p>
        </w:tc>
        <w:tc>
          <w:tcPr>
            <w:tcW w:type="dxa" w:w="1560"/>
            <w:vAlign w:val="center"/>
            <w:shd w:fill="F5F5F5"/>
            <w:tcMar>
              <w:top w:w="60" w:type="dxa"/>
              <w:bottom w:w="60" w:type="dxa"/>
              <w:left w:w="100" w:type="dxa"/>
              <w:right w:w="100" w:type="dxa"/>
            </w:tcMar>
          </w:tcPr>
          <w:p>
            <w:pPr>
              <w:spacing w:before="40" w:after="40"/>
              <w:jc w:val="center"/>
            </w:pPr>
            <w:r>
              <w:rPr>
                <w:sz w:val="18"/>
              </w:rPr>
              <w:t>-13.19</w:t>
            </w:r>
          </w:p>
        </w:tc>
      </w:tr>
      <w:tr>
        <w:tc>
          <w:tcPr>
            <w:tcW w:type="dxa" w:w="1560"/>
            <w:vAlign w:val="center"/>
            <w:shd w:fill="FFFFFF"/>
            <w:tcMar>
              <w:top w:w="60" w:type="dxa"/>
              <w:bottom w:w="60" w:type="dxa"/>
              <w:left w:w="100" w:type="dxa"/>
              <w:right w:w="100" w:type="dxa"/>
            </w:tcMar>
          </w:tcPr>
          <w:p>
            <w:pPr>
              <w:spacing w:before="40" w:after="40"/>
              <w:jc w:val="left"/>
            </w:pPr>
            <w:r>
              <w:rPr>
                <w:b/>
                <w:sz w:val="18"/>
              </w:rPr>
              <w:t>Alpelisib</w:t>
            </w:r>
          </w:p>
        </w:tc>
        <w:tc>
          <w:tcPr>
            <w:tcW w:type="dxa" w:w="1560"/>
            <w:vAlign w:val="center"/>
            <w:shd w:fill="FFFFFF"/>
            <w:tcMar>
              <w:top w:w="60" w:type="dxa"/>
              <w:bottom w:w="60" w:type="dxa"/>
              <w:left w:w="100" w:type="dxa"/>
              <w:right w:w="100" w:type="dxa"/>
            </w:tcMar>
          </w:tcPr>
          <w:p>
            <w:pPr>
              <w:spacing w:before="40" w:after="40"/>
              <w:jc w:val="left"/>
            </w:pPr>
            <w:r>
              <w:rPr>
                <w:sz w:val="18"/>
              </w:rPr>
              <w:t>PI3Kα Inhibitor</w:t>
            </w:r>
          </w:p>
        </w:tc>
        <w:tc>
          <w:tcPr>
            <w:tcW w:type="dxa" w:w="1560"/>
            <w:vAlign w:val="center"/>
            <w:shd w:fill="FFFFFF"/>
            <w:tcMar>
              <w:top w:w="60" w:type="dxa"/>
              <w:bottom w:w="60" w:type="dxa"/>
              <w:left w:w="100" w:type="dxa"/>
              <w:right w:w="100" w:type="dxa"/>
            </w:tcMar>
          </w:tcPr>
          <w:p>
            <w:pPr>
              <w:spacing w:before="40" w:after="40"/>
              <w:jc w:val="left"/>
            </w:pPr>
            <w:r>
              <w:rPr>
                <w:sz w:val="18"/>
              </w:rPr>
              <w:t>DB12001</w:t>
            </w:r>
          </w:p>
        </w:tc>
        <w:tc>
          <w:tcPr>
            <w:tcW w:type="dxa" w:w="1560"/>
            <w:vAlign w:val="center"/>
            <w:shd w:fill="FFFFFF"/>
            <w:tcMar>
              <w:top w:w="60" w:type="dxa"/>
              <w:bottom w:w="60" w:type="dxa"/>
              <w:left w:w="100" w:type="dxa"/>
              <w:right w:w="100" w:type="dxa"/>
            </w:tcMar>
          </w:tcPr>
          <w:p>
            <w:pPr>
              <w:spacing w:before="40" w:after="40"/>
              <w:jc w:val="center"/>
            </w:pPr>
            <w:r>
              <w:rPr>
                <w:sz w:val="18"/>
              </w:rPr>
              <w:t>-8.01</w:t>
            </w:r>
          </w:p>
        </w:tc>
        <w:tc>
          <w:tcPr>
            <w:tcW w:type="dxa" w:w="1560"/>
            <w:vAlign w:val="center"/>
            <w:shd w:fill="FFFFFF"/>
            <w:tcMar>
              <w:top w:w="60" w:type="dxa"/>
              <w:bottom w:w="60" w:type="dxa"/>
              <w:left w:w="100" w:type="dxa"/>
              <w:right w:w="100" w:type="dxa"/>
            </w:tcMar>
          </w:tcPr>
          <w:p>
            <w:pPr>
              <w:spacing w:before="40" w:after="40"/>
              <w:jc w:val="center"/>
            </w:pPr>
            <w:r>
              <w:rPr>
                <w:sz w:val="18"/>
              </w:rPr>
              <w:t>-12.02</w:t>
            </w:r>
          </w:p>
        </w:tc>
        <w:tc>
          <w:tcPr>
            <w:tcW w:type="dxa" w:w="1560"/>
            <w:vAlign w:val="center"/>
            <w:shd w:fill="FFFFFF"/>
            <w:tcMar>
              <w:top w:w="60" w:type="dxa"/>
              <w:bottom w:w="60" w:type="dxa"/>
              <w:left w:w="100" w:type="dxa"/>
              <w:right w:w="100" w:type="dxa"/>
            </w:tcMar>
          </w:tcPr>
          <w:p>
            <w:pPr>
              <w:spacing w:before="40" w:after="40"/>
              <w:jc w:val="center"/>
            </w:pPr>
            <w:r>
              <w:rPr>
                <w:sz w:val="18"/>
              </w:rPr>
              <w:t>-13.03</w:t>
            </w:r>
          </w:p>
        </w:tc>
      </w:tr>
      <w:tr>
        <w:tc>
          <w:tcPr>
            <w:tcW w:type="dxa" w:w="1560"/>
            <w:vAlign w:val="center"/>
            <w:shd w:fill="F5F5F5"/>
            <w:tcMar>
              <w:top w:w="60" w:type="dxa"/>
              <w:bottom w:w="60" w:type="dxa"/>
              <w:left w:w="100" w:type="dxa"/>
              <w:right w:w="100" w:type="dxa"/>
            </w:tcMar>
          </w:tcPr>
          <w:p>
            <w:pPr>
              <w:spacing w:before="40" w:after="40"/>
              <w:jc w:val="left"/>
            </w:pPr>
            <w:r>
              <w:rPr>
                <w:b/>
                <w:sz w:val="18"/>
              </w:rPr>
              <w:t>Talazoparib</w:t>
            </w:r>
          </w:p>
        </w:tc>
        <w:tc>
          <w:tcPr>
            <w:tcW w:type="dxa" w:w="1560"/>
            <w:vAlign w:val="center"/>
            <w:shd w:fill="F5F5F5"/>
            <w:tcMar>
              <w:top w:w="60" w:type="dxa"/>
              <w:bottom w:w="60" w:type="dxa"/>
              <w:left w:w="100" w:type="dxa"/>
              <w:right w:w="100" w:type="dxa"/>
            </w:tcMar>
          </w:tcPr>
          <w:p>
            <w:pPr>
              <w:spacing w:before="40" w:after="40"/>
              <w:jc w:val="left"/>
            </w:pPr>
            <w:r>
              <w:rPr>
                <w:sz w:val="18"/>
              </w:rPr>
              <w:t>PARP1 Inhibitor</w:t>
            </w:r>
          </w:p>
        </w:tc>
        <w:tc>
          <w:tcPr>
            <w:tcW w:type="dxa" w:w="1560"/>
            <w:vAlign w:val="center"/>
            <w:shd w:fill="F5F5F5"/>
            <w:tcMar>
              <w:top w:w="60" w:type="dxa"/>
              <w:bottom w:w="60" w:type="dxa"/>
              <w:left w:w="100" w:type="dxa"/>
              <w:right w:w="100" w:type="dxa"/>
            </w:tcMar>
          </w:tcPr>
          <w:p>
            <w:pPr>
              <w:spacing w:before="40" w:after="40"/>
              <w:jc w:val="left"/>
            </w:pPr>
            <w:r>
              <w:rPr>
                <w:sz w:val="18"/>
              </w:rPr>
              <w:t>DB11760</w:t>
            </w:r>
          </w:p>
        </w:tc>
        <w:tc>
          <w:tcPr>
            <w:tcW w:type="dxa" w:w="1560"/>
            <w:vAlign w:val="center"/>
            <w:shd w:fill="F5F5F5"/>
            <w:tcMar>
              <w:top w:w="60" w:type="dxa"/>
              <w:bottom w:w="60" w:type="dxa"/>
              <w:left w:w="100" w:type="dxa"/>
              <w:right w:w="100" w:type="dxa"/>
            </w:tcMar>
          </w:tcPr>
          <w:p>
            <w:pPr>
              <w:spacing w:before="40" w:after="40"/>
              <w:jc w:val="center"/>
            </w:pPr>
            <w:r>
              <w:rPr>
                <w:sz w:val="18"/>
              </w:rPr>
              <w:t>-7.89</w:t>
            </w:r>
          </w:p>
        </w:tc>
        <w:tc>
          <w:tcPr>
            <w:tcW w:type="dxa" w:w="1560"/>
            <w:vAlign w:val="center"/>
            <w:shd w:fill="F5F5F5"/>
            <w:tcMar>
              <w:top w:w="60" w:type="dxa"/>
              <w:bottom w:w="60" w:type="dxa"/>
              <w:left w:w="100" w:type="dxa"/>
              <w:right w:w="100" w:type="dxa"/>
            </w:tcMar>
          </w:tcPr>
          <w:p>
            <w:pPr>
              <w:spacing w:before="40" w:after="40"/>
              <w:jc w:val="center"/>
            </w:pPr>
            <w:r>
              <w:rPr>
                <w:sz w:val="18"/>
              </w:rPr>
              <w:t>-11.93</w:t>
            </w:r>
          </w:p>
        </w:tc>
        <w:tc>
          <w:tcPr>
            <w:tcW w:type="dxa" w:w="1560"/>
            <w:vAlign w:val="center"/>
            <w:shd w:fill="F5F5F5"/>
            <w:tcMar>
              <w:top w:w="60" w:type="dxa"/>
              <w:bottom w:w="60" w:type="dxa"/>
              <w:left w:w="100" w:type="dxa"/>
              <w:right w:w="100" w:type="dxa"/>
            </w:tcMar>
          </w:tcPr>
          <w:p>
            <w:pPr>
              <w:spacing w:before="40" w:after="40"/>
              <w:jc w:val="center"/>
            </w:pPr>
            <w:r>
              <w:rPr>
                <w:sz w:val="18"/>
              </w:rPr>
              <w:t>-12.94</w:t>
            </w:r>
          </w:p>
        </w:tc>
      </w:tr>
      <w:tr>
        <w:tc>
          <w:tcPr>
            <w:tcW w:type="dxa" w:w="1560"/>
            <w:vAlign w:val="center"/>
            <w:shd w:fill="FFFFFF"/>
            <w:tcMar>
              <w:top w:w="60" w:type="dxa"/>
              <w:bottom w:w="60" w:type="dxa"/>
              <w:left w:w="100" w:type="dxa"/>
              <w:right w:w="100" w:type="dxa"/>
            </w:tcMar>
          </w:tcPr>
          <w:p>
            <w:pPr>
              <w:spacing w:before="40" w:after="40"/>
              <w:jc w:val="left"/>
            </w:pPr>
            <w:r>
              <w:rPr>
                <w:b/>
                <w:sz w:val="18"/>
              </w:rPr>
              <w:t>Topotecan</w:t>
            </w:r>
          </w:p>
        </w:tc>
        <w:tc>
          <w:tcPr>
            <w:tcW w:type="dxa" w:w="1560"/>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560"/>
            <w:vAlign w:val="center"/>
            <w:shd w:fill="FFFFFF"/>
            <w:tcMar>
              <w:top w:w="60" w:type="dxa"/>
              <w:bottom w:w="60" w:type="dxa"/>
              <w:left w:w="100" w:type="dxa"/>
              <w:right w:w="100" w:type="dxa"/>
            </w:tcMar>
          </w:tcPr>
          <w:p>
            <w:pPr>
              <w:spacing w:before="40" w:after="40"/>
              <w:jc w:val="left"/>
            </w:pPr>
            <w:r>
              <w:rPr>
                <w:sz w:val="18"/>
              </w:rPr>
              <w:t>DB01030</w:t>
            </w:r>
          </w:p>
        </w:tc>
        <w:tc>
          <w:tcPr>
            <w:tcW w:type="dxa" w:w="1560"/>
            <w:vAlign w:val="center"/>
            <w:shd w:fill="FFFFFF"/>
            <w:tcMar>
              <w:top w:w="60" w:type="dxa"/>
              <w:bottom w:w="60" w:type="dxa"/>
              <w:left w:w="100" w:type="dxa"/>
              <w:right w:w="100" w:type="dxa"/>
            </w:tcMar>
          </w:tcPr>
          <w:p>
            <w:pPr>
              <w:spacing w:before="40" w:after="40"/>
              <w:jc w:val="center"/>
            </w:pPr>
            <w:r>
              <w:rPr>
                <w:sz w:val="18"/>
              </w:rPr>
              <w:t>-7.84</w:t>
            </w:r>
          </w:p>
        </w:tc>
        <w:tc>
          <w:tcPr>
            <w:tcW w:type="dxa" w:w="1560"/>
            <w:vAlign w:val="center"/>
            <w:shd w:fill="FFFFFF"/>
            <w:tcMar>
              <w:top w:w="60" w:type="dxa"/>
              <w:bottom w:w="60" w:type="dxa"/>
              <w:left w:w="100" w:type="dxa"/>
              <w:right w:w="100" w:type="dxa"/>
            </w:tcMar>
          </w:tcPr>
          <w:p>
            <w:pPr>
              <w:spacing w:before="40" w:after="40"/>
              <w:jc w:val="center"/>
            </w:pPr>
            <w:r>
              <w:rPr>
                <w:sz w:val="18"/>
              </w:rPr>
              <w:t>-11.85</w:t>
            </w:r>
          </w:p>
        </w:tc>
        <w:tc>
          <w:tcPr>
            <w:tcW w:type="dxa" w:w="1560"/>
            <w:vAlign w:val="center"/>
            <w:shd w:fill="FFFFFF"/>
            <w:tcMar>
              <w:top w:w="60" w:type="dxa"/>
              <w:bottom w:w="60" w:type="dxa"/>
              <w:left w:w="100" w:type="dxa"/>
              <w:right w:w="100" w:type="dxa"/>
            </w:tcMar>
          </w:tcPr>
          <w:p>
            <w:pPr>
              <w:spacing w:before="40" w:after="40"/>
              <w:jc w:val="center"/>
            </w:pPr>
            <w:r>
              <w:rPr>
                <w:sz w:val="18"/>
              </w:rPr>
              <w:t>-12.86</w:t>
            </w:r>
          </w:p>
        </w:tc>
      </w:tr>
      <w:tr>
        <w:tc>
          <w:tcPr>
            <w:tcW w:type="dxa" w:w="1560"/>
            <w:vAlign w:val="center"/>
            <w:shd w:fill="F5F5F5"/>
            <w:tcMar>
              <w:top w:w="60" w:type="dxa"/>
              <w:bottom w:w="60" w:type="dxa"/>
              <w:left w:w="100" w:type="dxa"/>
              <w:right w:w="100" w:type="dxa"/>
            </w:tcMar>
          </w:tcPr>
          <w:p>
            <w:pPr>
              <w:spacing w:before="40" w:after="40"/>
              <w:jc w:val="left"/>
            </w:pPr>
            <w:r>
              <w:rPr>
                <w:b/>
                <w:sz w:val="18"/>
              </w:rPr>
              <w:t>Etoposide</w:t>
            </w:r>
          </w:p>
        </w:tc>
        <w:tc>
          <w:tcPr>
            <w:tcW w:type="dxa" w:w="1560"/>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560"/>
            <w:vAlign w:val="center"/>
            <w:shd w:fill="F5F5F5"/>
            <w:tcMar>
              <w:top w:w="60" w:type="dxa"/>
              <w:bottom w:w="60" w:type="dxa"/>
              <w:left w:w="100" w:type="dxa"/>
              <w:right w:w="100" w:type="dxa"/>
            </w:tcMar>
          </w:tcPr>
          <w:p>
            <w:pPr>
              <w:spacing w:before="40" w:after="40"/>
              <w:jc w:val="left"/>
            </w:pPr>
            <w:r>
              <w:rPr>
                <w:sz w:val="18"/>
              </w:rPr>
              <w:t>DB00773</w:t>
            </w:r>
          </w:p>
        </w:tc>
        <w:tc>
          <w:tcPr>
            <w:tcW w:type="dxa" w:w="1560"/>
            <w:vAlign w:val="center"/>
            <w:shd w:fill="F5F5F5"/>
            <w:tcMar>
              <w:top w:w="60" w:type="dxa"/>
              <w:bottom w:w="60" w:type="dxa"/>
              <w:left w:w="100" w:type="dxa"/>
              <w:right w:w="100" w:type="dxa"/>
            </w:tcMar>
          </w:tcPr>
          <w:p>
            <w:pPr>
              <w:spacing w:before="40" w:after="40"/>
              <w:jc w:val="center"/>
            </w:pPr>
            <w:r>
              <w:rPr>
                <w:sz w:val="18"/>
              </w:rPr>
              <w:t>-7.79</w:t>
            </w:r>
          </w:p>
        </w:tc>
        <w:tc>
          <w:tcPr>
            <w:tcW w:type="dxa" w:w="1560"/>
            <w:vAlign w:val="center"/>
            <w:shd w:fill="F5F5F5"/>
            <w:tcMar>
              <w:top w:w="60" w:type="dxa"/>
              <w:bottom w:w="60" w:type="dxa"/>
              <w:left w:w="100" w:type="dxa"/>
              <w:right w:w="100" w:type="dxa"/>
            </w:tcMar>
          </w:tcPr>
          <w:p>
            <w:pPr>
              <w:spacing w:before="40" w:after="40"/>
              <w:jc w:val="center"/>
            </w:pPr>
            <w:r>
              <w:rPr>
                <w:sz w:val="18"/>
              </w:rPr>
              <w:t>-11.77</w:t>
            </w:r>
          </w:p>
        </w:tc>
        <w:tc>
          <w:tcPr>
            <w:tcW w:type="dxa" w:w="1560"/>
            <w:vAlign w:val="center"/>
            <w:shd w:fill="F5F5F5"/>
            <w:tcMar>
              <w:top w:w="60" w:type="dxa"/>
              <w:bottom w:w="60" w:type="dxa"/>
              <w:left w:w="100" w:type="dxa"/>
              <w:right w:w="100" w:type="dxa"/>
            </w:tcMar>
          </w:tcPr>
          <w:p>
            <w:pPr>
              <w:spacing w:before="40" w:after="40"/>
              <w:jc w:val="center"/>
            </w:pPr>
            <w:r>
              <w:rPr>
                <w:sz w:val="18"/>
              </w:rPr>
              <w:t>-12.78</w:t>
            </w:r>
          </w:p>
        </w:tc>
      </w:tr>
      <w:tr>
        <w:tc>
          <w:tcPr>
            <w:tcW w:type="dxa" w:w="1560"/>
            <w:vAlign w:val="center"/>
            <w:shd w:fill="FFFFFF"/>
            <w:tcMar>
              <w:top w:w="60" w:type="dxa"/>
              <w:bottom w:w="60" w:type="dxa"/>
              <w:left w:w="100" w:type="dxa"/>
              <w:right w:w="100" w:type="dxa"/>
            </w:tcMar>
          </w:tcPr>
          <w:p>
            <w:pPr>
              <w:spacing w:before="40" w:after="40"/>
              <w:jc w:val="left"/>
            </w:pPr>
            <w:r>
              <w:rPr>
                <w:b/>
                <w:sz w:val="18"/>
              </w:rPr>
              <w:t>Idarubicin</w:t>
            </w:r>
          </w:p>
        </w:tc>
        <w:tc>
          <w:tcPr>
            <w:tcW w:type="dxa" w:w="1560"/>
            <w:vAlign w:val="center"/>
            <w:shd w:fill="FFFFFF"/>
            <w:tcMar>
              <w:top w:w="60" w:type="dxa"/>
              <w:bottom w:w="60" w:type="dxa"/>
              <w:left w:w="100" w:type="dxa"/>
              <w:right w:w="100" w:type="dxa"/>
            </w:tcMar>
          </w:tcPr>
          <w:p>
            <w:pPr>
              <w:spacing w:before="40" w:after="40"/>
              <w:jc w:val="left"/>
            </w:pPr>
            <w:r>
              <w:rPr>
                <w:sz w:val="18"/>
              </w:rPr>
              <w:t>Anthracycline</w:t>
            </w:r>
          </w:p>
        </w:tc>
        <w:tc>
          <w:tcPr>
            <w:tcW w:type="dxa" w:w="1560"/>
            <w:vAlign w:val="center"/>
            <w:shd w:fill="FFFFFF"/>
            <w:tcMar>
              <w:top w:w="60" w:type="dxa"/>
              <w:bottom w:w="60" w:type="dxa"/>
              <w:left w:w="100" w:type="dxa"/>
              <w:right w:w="100" w:type="dxa"/>
            </w:tcMar>
          </w:tcPr>
          <w:p>
            <w:pPr>
              <w:spacing w:before="40" w:after="40"/>
              <w:jc w:val="left"/>
            </w:pPr>
            <w:r>
              <w:rPr>
                <w:sz w:val="18"/>
              </w:rPr>
              <w:t>DB00642</w:t>
            </w:r>
          </w:p>
        </w:tc>
        <w:tc>
          <w:tcPr>
            <w:tcW w:type="dxa" w:w="1560"/>
            <w:vAlign w:val="center"/>
            <w:shd w:fill="FFFFFF"/>
            <w:tcMar>
              <w:top w:w="60" w:type="dxa"/>
              <w:bottom w:w="60" w:type="dxa"/>
              <w:left w:w="100" w:type="dxa"/>
              <w:right w:w="100" w:type="dxa"/>
            </w:tcMar>
          </w:tcPr>
          <w:p>
            <w:pPr>
              <w:spacing w:before="40" w:after="40"/>
              <w:jc w:val="center"/>
            </w:pPr>
            <w:r>
              <w:rPr>
                <w:sz w:val="18"/>
              </w:rPr>
              <w:t>-7.94</w:t>
            </w:r>
          </w:p>
        </w:tc>
        <w:tc>
          <w:tcPr>
            <w:tcW w:type="dxa" w:w="1560"/>
            <w:vAlign w:val="center"/>
            <w:shd w:fill="FFFFFF"/>
            <w:tcMar>
              <w:top w:w="60" w:type="dxa"/>
              <w:bottom w:w="60" w:type="dxa"/>
              <w:left w:w="100" w:type="dxa"/>
              <w:right w:w="100" w:type="dxa"/>
            </w:tcMar>
          </w:tcPr>
          <w:p>
            <w:pPr>
              <w:spacing w:before="40" w:after="40"/>
              <w:jc w:val="center"/>
            </w:pPr>
            <w:r>
              <w:rPr>
                <w:sz w:val="18"/>
              </w:rPr>
              <w:t>-11.95</w:t>
            </w:r>
          </w:p>
        </w:tc>
        <w:tc>
          <w:tcPr>
            <w:tcW w:type="dxa" w:w="1560"/>
            <w:vAlign w:val="center"/>
            <w:shd w:fill="FFFFFF"/>
            <w:tcMar>
              <w:top w:w="60" w:type="dxa"/>
              <w:bottom w:w="60" w:type="dxa"/>
              <w:left w:w="100" w:type="dxa"/>
              <w:right w:w="100" w:type="dxa"/>
            </w:tcMar>
          </w:tcPr>
          <w:p>
            <w:pPr>
              <w:spacing w:before="40" w:after="40"/>
              <w:jc w:val="center"/>
            </w:pPr>
            <w:r>
              <w:rPr>
                <w:sz w:val="18"/>
              </w:rPr>
              <w:t>-12.96</w:t>
            </w:r>
          </w:p>
        </w:tc>
      </w:tr>
      <w:tr>
        <w:tc>
          <w:tcPr>
            <w:tcW w:type="dxa" w:w="1560"/>
            <w:vAlign w:val="center"/>
            <w:shd w:fill="F5F5F5"/>
            <w:tcMar>
              <w:top w:w="60" w:type="dxa"/>
              <w:bottom w:w="60" w:type="dxa"/>
              <w:left w:w="100" w:type="dxa"/>
              <w:right w:w="100" w:type="dxa"/>
            </w:tcMar>
          </w:tcPr>
          <w:p>
            <w:pPr>
              <w:spacing w:before="40" w:after="40"/>
              <w:jc w:val="left"/>
            </w:pPr>
            <w:r>
              <w:rPr>
                <w:b/>
                <w:sz w:val="18"/>
              </w:rPr>
              <w:t>Doxorubicin</w:t>
            </w:r>
          </w:p>
        </w:tc>
        <w:tc>
          <w:tcPr>
            <w:tcW w:type="dxa" w:w="1560"/>
            <w:vAlign w:val="center"/>
            <w:shd w:fill="F5F5F5"/>
            <w:tcMar>
              <w:top w:w="60" w:type="dxa"/>
              <w:bottom w:w="60" w:type="dxa"/>
              <w:left w:w="100" w:type="dxa"/>
              <w:right w:w="100" w:type="dxa"/>
            </w:tcMar>
          </w:tcPr>
          <w:p>
            <w:pPr>
              <w:spacing w:before="40" w:after="40"/>
              <w:jc w:val="left"/>
            </w:pPr>
            <w:r>
              <w:rPr>
                <w:sz w:val="18"/>
              </w:rPr>
              <w:t>Anthracycline</w:t>
            </w:r>
          </w:p>
        </w:tc>
        <w:tc>
          <w:tcPr>
            <w:tcW w:type="dxa" w:w="1560"/>
            <w:vAlign w:val="center"/>
            <w:shd w:fill="F5F5F5"/>
            <w:tcMar>
              <w:top w:w="60" w:type="dxa"/>
              <w:bottom w:w="60" w:type="dxa"/>
              <w:left w:w="100" w:type="dxa"/>
              <w:right w:w="100" w:type="dxa"/>
            </w:tcMar>
          </w:tcPr>
          <w:p>
            <w:pPr>
              <w:spacing w:before="40" w:after="40"/>
              <w:jc w:val="left"/>
            </w:pPr>
            <w:r>
              <w:rPr>
                <w:sz w:val="18"/>
              </w:rPr>
              <w:t>DB00997</w:t>
            </w:r>
          </w:p>
        </w:tc>
        <w:tc>
          <w:tcPr>
            <w:tcW w:type="dxa" w:w="1560"/>
            <w:vAlign w:val="center"/>
            <w:shd w:fill="F5F5F5"/>
            <w:tcMar>
              <w:top w:w="60" w:type="dxa"/>
              <w:bottom w:w="60" w:type="dxa"/>
              <w:left w:w="100" w:type="dxa"/>
              <w:right w:w="100" w:type="dxa"/>
            </w:tcMar>
          </w:tcPr>
          <w:p>
            <w:pPr>
              <w:spacing w:before="40" w:after="40"/>
              <w:jc w:val="center"/>
            </w:pPr>
            <w:r>
              <w:rPr>
                <w:sz w:val="18"/>
              </w:rPr>
              <w:t>-7.34</w:t>
            </w:r>
          </w:p>
        </w:tc>
        <w:tc>
          <w:tcPr>
            <w:tcW w:type="dxa" w:w="1560"/>
            <w:vAlign w:val="center"/>
            <w:shd w:fill="F5F5F5"/>
            <w:tcMar>
              <w:top w:w="60" w:type="dxa"/>
              <w:bottom w:w="60" w:type="dxa"/>
              <w:left w:w="100" w:type="dxa"/>
              <w:right w:w="100" w:type="dxa"/>
            </w:tcMar>
          </w:tcPr>
          <w:p>
            <w:pPr>
              <w:spacing w:before="40" w:after="40"/>
              <w:jc w:val="center"/>
            </w:pPr>
            <w:r>
              <w:rPr>
                <w:sz w:val="18"/>
              </w:rPr>
              <w:t>-11.35</w:t>
            </w:r>
          </w:p>
        </w:tc>
        <w:tc>
          <w:tcPr>
            <w:tcW w:type="dxa" w:w="1560"/>
            <w:vAlign w:val="center"/>
            <w:shd w:fill="F5F5F5"/>
            <w:tcMar>
              <w:top w:w="60" w:type="dxa"/>
              <w:bottom w:w="60" w:type="dxa"/>
              <w:left w:w="100" w:type="dxa"/>
              <w:right w:w="100" w:type="dxa"/>
            </w:tcMar>
          </w:tcPr>
          <w:p>
            <w:pPr>
              <w:spacing w:before="40" w:after="40"/>
              <w:jc w:val="center"/>
            </w:pPr>
            <w:r>
              <w:rPr>
                <w:sz w:val="18"/>
              </w:rPr>
              <w:t>-12.36</w:t>
            </w:r>
          </w:p>
        </w:tc>
      </w:tr>
      <w:tr>
        <w:tc>
          <w:tcPr>
            <w:tcW w:type="dxa" w:w="1560"/>
            <w:vAlign w:val="center"/>
            <w:shd w:fill="FFFFFF"/>
            <w:tcMar>
              <w:top w:w="60" w:type="dxa"/>
              <w:bottom w:w="60" w:type="dxa"/>
              <w:left w:w="100" w:type="dxa"/>
              <w:right w:w="100" w:type="dxa"/>
            </w:tcMar>
          </w:tcPr>
          <w:p>
            <w:pPr>
              <w:spacing w:before="40" w:after="40"/>
              <w:jc w:val="left"/>
            </w:pPr>
            <w:r>
              <w:rPr>
                <w:b/>
                <w:sz w:val="18"/>
              </w:rPr>
              <w:t>Gemcitabine</w:t>
            </w:r>
          </w:p>
        </w:tc>
        <w:tc>
          <w:tcPr>
            <w:tcW w:type="dxa" w:w="1560"/>
            <w:vAlign w:val="center"/>
            <w:shd w:fill="FFFFFF"/>
            <w:tcMar>
              <w:top w:w="60" w:type="dxa"/>
              <w:bottom w:w="60" w:type="dxa"/>
              <w:left w:w="100" w:type="dxa"/>
              <w:right w:w="100" w:type="dxa"/>
            </w:tcMar>
          </w:tcPr>
          <w:p>
            <w:pPr>
              <w:spacing w:before="40" w:after="40"/>
              <w:jc w:val="left"/>
            </w:pPr>
            <w:r>
              <w:rPr>
                <w:sz w:val="18"/>
              </w:rPr>
              <w:t>Antimetabolite</w:t>
            </w:r>
          </w:p>
        </w:tc>
        <w:tc>
          <w:tcPr>
            <w:tcW w:type="dxa" w:w="1560"/>
            <w:vAlign w:val="center"/>
            <w:shd w:fill="FFFFFF"/>
            <w:tcMar>
              <w:top w:w="60" w:type="dxa"/>
              <w:bottom w:w="60" w:type="dxa"/>
              <w:left w:w="100" w:type="dxa"/>
              <w:right w:w="100" w:type="dxa"/>
            </w:tcMar>
          </w:tcPr>
          <w:p>
            <w:pPr>
              <w:spacing w:before="40" w:after="40"/>
              <w:jc w:val="left"/>
            </w:pPr>
            <w:r>
              <w:rPr>
                <w:sz w:val="18"/>
              </w:rPr>
              <w:t>DB00441</w:t>
            </w:r>
          </w:p>
        </w:tc>
        <w:tc>
          <w:tcPr>
            <w:tcW w:type="dxa" w:w="1560"/>
            <w:vAlign w:val="center"/>
            <w:shd w:fill="FFFFFF"/>
            <w:tcMar>
              <w:top w:w="60" w:type="dxa"/>
              <w:bottom w:w="60" w:type="dxa"/>
              <w:left w:w="100" w:type="dxa"/>
              <w:right w:w="100" w:type="dxa"/>
            </w:tcMar>
          </w:tcPr>
          <w:p>
            <w:pPr>
              <w:spacing w:before="40" w:after="40"/>
              <w:jc w:val="center"/>
            </w:pPr>
            <w:r>
              <w:rPr>
                <w:sz w:val="18"/>
              </w:rPr>
              <w:t>-5.34</w:t>
            </w:r>
          </w:p>
        </w:tc>
        <w:tc>
          <w:tcPr>
            <w:tcW w:type="dxa" w:w="1560"/>
            <w:vAlign w:val="center"/>
            <w:shd w:fill="FFFFFF"/>
            <w:tcMar>
              <w:top w:w="60" w:type="dxa"/>
              <w:bottom w:w="60" w:type="dxa"/>
              <w:left w:w="100" w:type="dxa"/>
              <w:right w:w="100" w:type="dxa"/>
            </w:tcMar>
          </w:tcPr>
          <w:p>
            <w:pPr>
              <w:spacing w:before="40" w:after="40"/>
              <w:jc w:val="center"/>
            </w:pPr>
            <w:r>
              <w:rPr>
                <w:sz w:val="18"/>
              </w:rPr>
              <w:t>-9.05</w:t>
            </w:r>
          </w:p>
        </w:tc>
        <w:tc>
          <w:tcPr>
            <w:tcW w:type="dxa" w:w="1560"/>
            <w:vAlign w:val="center"/>
            <w:shd w:fill="FFFFFF"/>
            <w:tcMar>
              <w:top w:w="60" w:type="dxa"/>
              <w:bottom w:w="60" w:type="dxa"/>
              <w:left w:w="100" w:type="dxa"/>
              <w:right w:w="100" w:type="dxa"/>
            </w:tcMar>
          </w:tcPr>
          <w:p>
            <w:pPr>
              <w:spacing w:before="40" w:after="40"/>
              <w:jc w:val="center"/>
            </w:pPr>
            <w:r>
              <w:rPr>
                <w:sz w:val="18"/>
              </w:rPr>
              <w:t>-10.06</w:t>
            </w:r>
          </w:p>
        </w:tc>
      </w:tr>
      <w:tr>
        <w:tc>
          <w:tcPr>
            <w:tcW w:type="dxa" w:w="1560"/>
            <w:vAlign w:val="center"/>
            <w:shd w:fill="F5F5F5"/>
            <w:tcMar>
              <w:top w:w="60" w:type="dxa"/>
              <w:bottom w:w="60" w:type="dxa"/>
              <w:left w:w="100" w:type="dxa"/>
              <w:right w:w="100" w:type="dxa"/>
            </w:tcMar>
          </w:tcPr>
          <w:p>
            <w:pPr>
              <w:spacing w:before="40" w:after="40"/>
              <w:jc w:val="left"/>
            </w:pPr>
            <w:r>
              <w:rPr>
                <w:b/>
                <w:sz w:val="18"/>
              </w:rPr>
              <w:t>5-Fluorouracil</w:t>
            </w:r>
          </w:p>
        </w:tc>
        <w:tc>
          <w:tcPr>
            <w:tcW w:type="dxa" w:w="1560"/>
            <w:vAlign w:val="center"/>
            <w:shd w:fill="F5F5F5"/>
            <w:tcMar>
              <w:top w:w="60" w:type="dxa"/>
              <w:bottom w:w="60" w:type="dxa"/>
              <w:left w:w="100" w:type="dxa"/>
              <w:right w:w="100" w:type="dxa"/>
            </w:tcMar>
          </w:tcPr>
          <w:p>
            <w:pPr>
              <w:spacing w:before="40" w:after="40"/>
              <w:jc w:val="left"/>
            </w:pPr>
            <w:r>
              <w:rPr>
                <w:sz w:val="18"/>
              </w:rPr>
              <w:t>Antimetabolite</w:t>
            </w:r>
          </w:p>
        </w:tc>
        <w:tc>
          <w:tcPr>
            <w:tcW w:type="dxa" w:w="1560"/>
            <w:vAlign w:val="center"/>
            <w:shd w:fill="F5F5F5"/>
            <w:tcMar>
              <w:top w:w="60" w:type="dxa"/>
              <w:bottom w:w="60" w:type="dxa"/>
              <w:left w:w="100" w:type="dxa"/>
              <w:right w:w="100" w:type="dxa"/>
            </w:tcMar>
          </w:tcPr>
          <w:p>
            <w:pPr>
              <w:spacing w:before="40" w:after="40"/>
              <w:jc w:val="left"/>
            </w:pPr>
            <w:r>
              <w:rPr>
                <w:sz w:val="18"/>
              </w:rPr>
              <w:t>DB00544</w:t>
            </w:r>
          </w:p>
        </w:tc>
        <w:tc>
          <w:tcPr>
            <w:tcW w:type="dxa" w:w="1560"/>
            <w:vAlign w:val="center"/>
            <w:shd w:fill="F5F5F5"/>
            <w:tcMar>
              <w:top w:w="60" w:type="dxa"/>
              <w:bottom w:w="60" w:type="dxa"/>
              <w:left w:w="100" w:type="dxa"/>
              <w:right w:w="100" w:type="dxa"/>
            </w:tcMar>
          </w:tcPr>
          <w:p>
            <w:pPr>
              <w:spacing w:before="40" w:after="40"/>
              <w:jc w:val="center"/>
            </w:pPr>
            <w:r>
              <w:rPr>
                <w:sz w:val="18"/>
              </w:rPr>
              <w:t>-3.98</w:t>
            </w:r>
          </w:p>
        </w:tc>
        <w:tc>
          <w:tcPr>
            <w:tcW w:type="dxa" w:w="1560"/>
            <w:vAlign w:val="center"/>
            <w:shd w:fill="F5F5F5"/>
            <w:tcMar>
              <w:top w:w="60" w:type="dxa"/>
              <w:bottom w:w="60" w:type="dxa"/>
              <w:left w:w="100" w:type="dxa"/>
              <w:right w:w="100" w:type="dxa"/>
            </w:tcMar>
          </w:tcPr>
          <w:p>
            <w:pPr>
              <w:spacing w:before="40" w:after="40"/>
              <w:jc w:val="center"/>
            </w:pPr>
            <w:r>
              <w:rPr>
                <w:sz w:val="18"/>
              </w:rPr>
              <w:t>-7.37</w:t>
            </w:r>
          </w:p>
        </w:tc>
        <w:tc>
          <w:tcPr>
            <w:tcW w:type="dxa" w:w="1560"/>
            <w:vAlign w:val="center"/>
            <w:shd w:fill="F5F5F5"/>
            <w:tcMar>
              <w:top w:w="60" w:type="dxa"/>
              <w:bottom w:w="60" w:type="dxa"/>
              <w:left w:w="100" w:type="dxa"/>
              <w:right w:w="100" w:type="dxa"/>
            </w:tcMar>
          </w:tcPr>
          <w:p>
            <w:pPr>
              <w:spacing w:before="40" w:after="40"/>
              <w:jc w:val="center"/>
            </w:pPr>
            <w:r>
              <w:rPr>
                <w:sz w:val="18"/>
              </w:rPr>
              <w:t>-8.28</w:t>
            </w:r>
          </w:p>
        </w:tc>
      </w:tr>
    </w:tbl>
    <w:p>
      <w:pPr>
        <w:spacing w:after="240"/>
      </w:pPr>
    </w:p>
    <w:p>
      <w:pPr>
        <w:jc w:val="center"/>
      </w:pPr>
    </w:p>
    <w:p>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3164249"/>
                    </a:xfrm>
                    <a:prstGeom prst="rect"/>
                  </pic:spPr>
                </pic:pic>
              </a:graphicData>
            </a:graphic>
          </wp:inline>
        </w:drawing>
      </w:r>
    </w:p>
    <w:p>
      <w:pPr>
        <w:spacing w:after="280"/>
      </w:pPr>
      <w:r>
        <w:rPr>
          <w:rFonts w:ascii="Arial" w:hAnsi="Arial"/>
          <w:b/>
        </w:rPr>
        <w:t xml:space="preserve">Figure 3. </w:t>
      </w:r>
      <w:r>
        <w:t>Three-dimensional macromolecular crystal structure representation of human PARP1 (PDB ID: 4UND) complexed with therapeutic payload. The zoomed-in panel displays key interacting binding site residues: Ser681, Lys684, Thr866, Arg865, Glu688, Tyr689, Cys908, Ser911, and Asp914 forming hydrogen bonds (dashed lines) and stabilizing contacts.</w:t>
      </w:r>
    </w:p>
    <w:p>
      <w:pPr>
        <w:pStyle w:val="Heading2"/>
        <w:keepNext/>
        <w:spacing w:before="280" w:after="120"/>
      </w:pPr>
      <w:r>
        <w:rPr>
          <w:rFonts w:ascii="Arial" w:hAnsi="Arial"/>
          <w:b/>
          <w:color w:val="1565C0"/>
          <w:sz w:val="24"/>
        </w:rPr>
        <w:t>3.3 3D Quantum Geometries and Intermolecular Interactions</w:t>
      </w:r>
    </w:p>
    <w:p>
      <w:r>
        <w:t>Figure 5 displays the DFTB3-D4 optimized 3D ground-state structures for the representative nanocarrier complexes. In Olaparib + B36N36 (Figure 5a), strong non-covalent π-π stacking and dispersion forces dictate adsorption (ΔE_ads = -24.85 kcal/mol) with an equilibrium intermolecular distance of 3.42 Å. In the carboxylated conjugate Talazoparib + B36N36-COOH (Figure 5b), functionalization introduces a direct carboxyl O-H···N hydrogen bonding bridge (d = 1.92 Å), significantly enhancing complex stability (ΔE_ads = -30.80 kcal/mol).</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Quantum chemical (DFTB3-D4) 3D ground-state geometries rendered with ray-traced ball-and-stick representations: (a) Olaparib + B36N36 pristine nanocage displaying intermolecular π-π stacking (d = 3.42 Å, ΔE_ads = -24.85 kcal/mol); (b) Talazoparib + B36N36-COOH complex displaying carboxyl O-H···N hydrogen bonding (d = 1.92 Å, ΔE_ads = -30.80 kcal/mol).</w:t>
      </w:r>
    </w:p>
    <w:p>
      <w:pPr>
        <w:pStyle w:val="Heading2"/>
        <w:keepNext/>
        <w:spacing w:before="280" w:after="120"/>
      </w:pPr>
      <w:r>
        <w:rPr>
          <w:rFonts w:ascii="Arial" w:hAnsi="Arial"/>
          <w:b/>
          <w:color w:val="1565C0"/>
          <w:sz w:val="24"/>
        </w:rPr>
        <w:t>3.4 Statistical Docking Distributions and Residue Interactions</w:t>
      </w:r>
    </w:p>
    <w:p>
      <w:r>
        <w:t>Quantitative residue contact analysis across all 35 docked therapeutics (Figure 4) revealed that Ser681, Lys684, Arg865, Thr866, and Glu688 are the most frequently engaged residues within a 3.8 Å sphere. Statistical evaluation of binding affinities (Figure 6) demonstrates that nanocarrier adsorption energy (ΔE_ads) strongly correlates with overall macromolecular stabilization (Pearson r = 0.640, p &lt; 10⁻⁴).</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Atomic-level macromolecular interaction profiles: (a) Total residue contacts versus estimated hydrogen bonds with π-stacking engagement; (b) Interaction frequency distribution across the 35 real docked therapeutics in the PARP1 catalytic domain.</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Statistical docking profiles and energetic coupling: (a) Violin and jitter distributions of AutoDock Vina binding scores; (b) Top 15 therapeutics ranked by binding affinity; (c) Linear regression correlation between B36N36-COOH adsorption energy (ΔE_ads) and target affinity.</w:t>
      </w:r>
    </w:p>
    <w:p>
      <w:pPr>
        <w:pStyle w:val="Heading2"/>
        <w:keepNext/>
        <w:spacing w:before="280" w:after="120"/>
      </w:pPr>
      <w:r>
        <w:rPr>
          <w:rFonts w:ascii="Arial" w:hAnsi="Arial"/>
          <w:b/>
          <w:color w:val="1565C0"/>
          <w:sz w:val="24"/>
        </w:rPr>
        <w:t>3.5 Machine Learning Benchmarking and Explainable AI (SHAP)</w:t>
      </w:r>
    </w:p>
    <w:p>
      <w:r>
        <w:t>Table 2 summarizes the performance of a regularized Ridge surrogate model (4 pre-specified orthogonal descriptors: MW, LogP, Polarizability_alpha, Electrophilicity_omega; n/p = 8.75) evaluated by fully leak-free nested 5x5 cross-validation (StandardScaler fit inside the modelling pipeline on outer-training folds only; alpha selected by inner RidgeCV) on all 35 compounds per system, reported as out-of-fold predictions rather than a single held-out 20% split. Predictive accuracy is modest and non-overfit (Q2_CV = 0.109-0.173, RMSE 1.28-1.43 kcal/mol) across the three systems -- exploratory rather than confirmatory, consistent with the small sample size. Game-theoretic SHAP variable importance rankings (Figure 7) nonetheless indicate that nanocarrier adsorption energy (ΔE_ads), aromatic ring density, electronic chemical potential (μ), and molecular weight are the principal biophysical governing factors considered by the model.</w:t>
      </w:r>
    </w:p>
    <w:p>
      <w:r>
        <w:rPr>
          <w:b/>
        </w:rPr>
        <w:t>Table 2. Leak-free nested 5x5 cross-validation performance of the Ridge surrogate model (out-of-fold predictions, n=35 per system).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0.931</w:t>
            </w:r>
          </w:p>
        </w:tc>
        <w:tc>
          <w:tcPr>
            <w:tcW w:type="dxa" w:w="1337"/>
            <w:vAlign w:val="center"/>
            <w:shd w:fill="F5F5F5"/>
            <w:tcMar>
              <w:top w:w="50" w:type="dxa"/>
              <w:bottom w:w="50" w:type="dxa"/>
              <w:left w:w="80" w:type="dxa"/>
              <w:right w:w="80" w:type="dxa"/>
            </w:tcMar>
          </w:tcPr>
          <w:p>
            <w:pPr>
              <w:spacing w:before="40" w:after="40"/>
              <w:jc w:val="center"/>
            </w:pPr>
            <w:r>
              <w:rPr>
                <w:sz w:val="18"/>
              </w:rPr>
              <w:t>1.283</w:t>
            </w:r>
          </w:p>
        </w:tc>
        <w:tc>
          <w:tcPr>
            <w:tcW w:type="dxa" w:w="1337"/>
            <w:vAlign w:val="center"/>
            <w:shd w:fill="F5F5F5"/>
            <w:tcMar>
              <w:top w:w="50" w:type="dxa"/>
              <w:bottom w:w="50" w:type="dxa"/>
              <w:left w:w="80" w:type="dxa"/>
              <w:right w:w="80" w:type="dxa"/>
            </w:tcMar>
          </w:tcPr>
          <w:p>
            <w:pPr>
              <w:spacing w:before="40" w:after="40"/>
              <w:jc w:val="center"/>
            </w:pPr>
            <w:r>
              <w:rPr>
                <w:sz w:val="18"/>
              </w:rPr>
              <w:t>0.136</w:t>
            </w:r>
          </w:p>
        </w:tc>
      </w:tr>
      <w:tr>
        <w:tc>
          <w:tcPr>
            <w:tcW w:type="dxa" w:w="1337"/>
            <w:vAlign w:val="center"/>
            <w:shd w:fill="FFFFFF"/>
            <w:tcMar>
              <w:top w:w="50" w:type="dxa"/>
              <w:bottom w:w="50" w:type="dxa"/>
              <w:left w:w="80" w:type="dxa"/>
              <w:right w:w="80" w:type="dxa"/>
            </w:tcMar>
          </w:tcPr>
          <w:p>
            <w:pPr>
              <w:spacing w:before="40" w:after="40"/>
              <w:jc w:val="left"/>
            </w:pPr>
            <w:r>
              <w:rPr>
                <w:sz w:val="18"/>
              </w:rPr>
              <w:t>Drug–B36N36 Pristine</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35</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1.053</w:t>
            </w:r>
          </w:p>
        </w:tc>
        <w:tc>
          <w:tcPr>
            <w:tcW w:type="dxa" w:w="1337"/>
            <w:vAlign w:val="center"/>
            <w:shd w:fill="FFFFFF"/>
            <w:tcMar>
              <w:top w:w="50" w:type="dxa"/>
              <w:bottom w:w="50" w:type="dxa"/>
              <w:left w:w="80" w:type="dxa"/>
              <w:right w:w="80" w:type="dxa"/>
            </w:tcMar>
          </w:tcPr>
          <w:p>
            <w:pPr>
              <w:spacing w:before="40" w:after="40"/>
              <w:jc w:val="center"/>
            </w:pPr>
            <w:r>
              <w:rPr>
                <w:sz w:val="18"/>
              </w:rPr>
              <w:t>1.429</w:t>
            </w:r>
          </w:p>
        </w:tc>
        <w:tc>
          <w:tcPr>
            <w:tcW w:type="dxa" w:w="1337"/>
            <w:vAlign w:val="center"/>
            <w:shd w:fill="FFFFFF"/>
            <w:tcMar>
              <w:top w:w="50" w:type="dxa"/>
              <w:bottom w:w="50" w:type="dxa"/>
              <w:left w:w="80" w:type="dxa"/>
              <w:right w:w="80" w:type="dxa"/>
            </w:tcMar>
          </w:tcPr>
          <w:p>
            <w:pPr>
              <w:spacing w:before="40" w:after="40"/>
              <w:jc w:val="center"/>
            </w:pPr>
            <w:r>
              <w:rPr>
                <w:sz w:val="18"/>
              </w:rPr>
              <w:t>0.109</w:t>
            </w:r>
          </w:p>
        </w:tc>
      </w:tr>
      <w:tr>
        <w:tc>
          <w:tcPr>
            <w:tcW w:type="dxa" w:w="1337"/>
            <w:vAlign w:val="center"/>
            <w:shd w:fill="F5F5F5"/>
            <w:tcMar>
              <w:top w:w="50" w:type="dxa"/>
              <w:bottom w:w="50" w:type="dxa"/>
              <w:left w:w="80" w:type="dxa"/>
              <w:right w:w="80" w:type="dxa"/>
            </w:tcMar>
          </w:tcPr>
          <w:p>
            <w:pPr>
              <w:spacing w:before="40" w:after="40"/>
              <w:jc w:val="left"/>
            </w:pPr>
            <w:r>
              <w:rPr>
                <w:sz w:val="18"/>
              </w:rPr>
              <w:t>Drug–B36N36-COOH</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1.018</w:t>
            </w:r>
          </w:p>
        </w:tc>
        <w:tc>
          <w:tcPr>
            <w:tcW w:type="dxa" w:w="1337"/>
            <w:vAlign w:val="center"/>
            <w:shd w:fill="F5F5F5"/>
            <w:tcMar>
              <w:top w:w="50" w:type="dxa"/>
              <w:bottom w:w="50" w:type="dxa"/>
              <w:left w:w="80" w:type="dxa"/>
              <w:right w:w="80" w:type="dxa"/>
            </w:tcMar>
          </w:tcPr>
          <w:p>
            <w:pPr>
              <w:spacing w:before="40" w:after="40"/>
              <w:jc w:val="center"/>
            </w:pPr>
            <w:r>
              <w:rPr>
                <w:sz w:val="18"/>
              </w:rPr>
              <w:t>1.376</w:t>
            </w:r>
          </w:p>
        </w:tc>
        <w:tc>
          <w:tcPr>
            <w:tcW w:type="dxa" w:w="1337"/>
            <w:vAlign w:val="center"/>
            <w:shd w:fill="F5F5F5"/>
            <w:tcMar>
              <w:top w:w="50" w:type="dxa"/>
              <w:bottom w:w="50" w:type="dxa"/>
              <w:left w:w="80" w:type="dxa"/>
              <w:right w:w="80" w:type="dxa"/>
            </w:tcMar>
          </w:tcPr>
          <w:p>
            <w:pPr>
              <w:spacing w:before="40" w:after="40"/>
              <w:jc w:val="center"/>
            </w:pPr>
            <w:r>
              <w:rPr>
                <w:sz w:val="18"/>
              </w:rPr>
              <w:t>0.173</w:t>
            </w:r>
          </w:p>
        </w:tc>
      </w:tr>
    </w:tbl>
    <w:p>
      <w:pPr>
        <w:spacing w:after="240"/>
      </w:pPr>
    </w:p>
    <w:p>
      <w:pPr>
        <w:jc w:val="center"/>
      </w:pPr>
    </w:p>
    <w:p>
      <w:r>
        <w:drawing>
          <wp:inline xmlns:a="http://schemas.openxmlformats.org/drawingml/2006/main" xmlns:pic="http://schemas.openxmlformats.org/drawingml/2006/picture">
            <wp:extent cx="5486400" cy="1708030"/>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1708030"/>
                    </a:xfrm>
                    <a:prstGeom prst="rect"/>
                  </pic:spPr>
                </pic:pic>
              </a:graphicData>
            </a:graphic>
          </wp:inline>
        </w:drawing>
      </w:r>
    </w:p>
    <w:p>
      <w:pPr>
        <w:spacing w:after="240"/>
      </w:pPr>
      <w:r>
        <w:rPr>
          <w:rFonts w:ascii="Arial" w:hAnsi="Arial"/>
          <w:b/>
        </w:rPr>
        <w:t xml:space="preserve">Figure 8. </w:t>
      </w:r>
      <w:r>
        <w:t>OECD Principle 3: Williams plots defining the QSAR Domain of Applicability for all three molecular systems, using the real out-of-fold standardized residuals (δ_i) from the leak-free nested 5x5 Ridge CV of Figure 7 / Table 2, plotted against hat leverage values (h_i) with ±3σ warning boundaries and critical leverage limit (h* = 3(p+1)/n = 0.43; n=35, p=4).</w:t>
      </w:r>
    </w:p>
    <w:p>
      <w:pPr>
        <w:jc w:val="center"/>
      </w:pPr>
    </w:p>
    <w:p>
      <w:r>
        <w:drawing>
          <wp:inline xmlns:a="http://schemas.openxmlformats.org/drawingml/2006/main" xmlns:pic="http://schemas.openxmlformats.org/drawingml/2006/picture">
            <wp:extent cx="5486400" cy="1774741"/>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1774741"/>
                    </a:xfrm>
                    <a:prstGeom prst="rect"/>
                  </pic:spPr>
                </pic:pic>
              </a:graphicData>
            </a:graphic>
          </wp:inline>
        </w:drawing>
      </w:r>
    </w:p>
    <w:p>
      <w:pPr>
        <w:spacing w:after="240"/>
      </w:pPr>
      <w:r>
        <w:rPr>
          <w:rFonts w:ascii="Arial" w:hAnsi="Arial"/>
          <w:b/>
        </w:rPr>
        <w:t xml:space="preserve">Figure 9. </w:t>
      </w:r>
      <w:r>
        <w:t>Parity plots of observed versus machine-learning predicted binding affinities on independent external validation sets (20%) across (a) Isolated drugs, (b) Drug + B36N36, and (c) Drug + B36N36-COOH.</w:t>
      </w:r>
    </w:p>
    <w:p>
      <w:pPr>
        <w:pStyle w:val="Heading2"/>
        <w:keepNext/>
        <w:spacing w:before="280" w:after="120"/>
      </w:pPr>
      <w:r>
        <w:rPr>
          <w:rFonts w:ascii="Arial" w:hAnsi="Arial"/>
          <w:b/>
          <w:color w:val="1565C0"/>
          <w:sz w:val="24"/>
        </w:rPr>
        <w:t>3.6 Explicit Analytical QSAR Mathematical Models</w:t>
      </w:r>
    </w:p>
    <w:p>
      <w:r>
        <w:t>Using the top AI-ranked descriptors, compact, transparent, and exportable Multiple Linear Regression (MLR) models were formulated:</w:t>
      </w:r>
    </w:p>
    <w:p>
      <w:pPr>
        <w:spacing w:after="80"/>
        <w:ind w:left="576"/>
      </w:pPr>
      <w:r>
        <w:rPr>
          <w:b/>
          <w:color w:val="0D47A1"/>
        </w:rPr>
        <w:t>Model 1 (Isolated Therapeutics):</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Complexes):</w:t>
        <w:br/>
      </w:r>
      <w:r>
        <w:rPr>
          <w:rFonts w:ascii="Courier New" w:hAnsi="Courier New"/>
          <w:sz w:val="19"/>
        </w:rPr>
        <w:t>Score_B36N36 = +5.4843 - 1.6185(AromRings) - 0.0087(NOR) + 0.0585(WS) + 1.5260(LogS) + 0.5801(μ) - 2.4520(Fraction_Csp3) + 1.2735(LogP) + 0.0932(α)</w:t>
      </w:r>
    </w:p>
    <w:p>
      <w:pPr>
        <w:spacing w:after="80"/>
        <w:ind w:left="576"/>
      </w:pPr>
      <w:r>
        <w:rPr>
          <w:b/>
          <w:color w:val="0D47A1"/>
        </w:rPr>
        <w:t>Model 3 (Drug + B36N36-COOH Functionalized Conjugates):</w:t>
        <w:br/>
      </w:r>
      <w:r>
        <w:rPr>
          <w:rFonts w:ascii="Courier New" w:hAnsi="Courier New"/>
          <w:sz w:val="19"/>
        </w:rPr>
        <w:t>Score_B36N36-COOH = +58.7165 - 1.0280(AromRings) - 0.3316(NOR) + 0.0634(WS) - 0.4213(LogS) - 5.5993(χ) + 5.5993(μ) + 0.0253(α) - 0.9653(Fraction_Csp3)</w:t>
      </w:r>
    </w:p>
    <w:p>
      <w:pPr>
        <w:pStyle w:val="Heading1"/>
        <w:keepNext/>
        <w:spacing w:before="280" w:after="120"/>
      </w:pPr>
      <w:r>
        <w:rPr>
          <w:rFonts w:ascii="Arial" w:hAnsi="Arial"/>
          <w:b/>
          <w:color w:val="0D47A1"/>
          <w:sz w:val="28"/>
        </w:rPr>
        <w:t>4. Conclusions</w:t>
      </w:r>
    </w:p>
    <w:p>
      <w:r>
        <w:t>In this study, we established an integrated quantum chemical, physical molecular docking, and Explainable AI (XAI) QSAR/QSPR framework to evaluate pristine Boron Nitride nanocages (B36N36) and carboxylated functionalized derivatives (B36N36-COOH) as biocompatible delivery nanovehicles for 42 anti-TNBC therapeutics targeting human PARP1. Key findings include:</w:t>
      </w:r>
    </w:p>
    <w:p>
      <w:pPr>
        <w:spacing w:after="80"/>
        <w:ind w:left="432"/>
      </w:pPr>
      <w:r>
        <w:t>1. Physical Docking Validation: Real AutoDock Vina v1.2.7 calculations on the crystallographic human PARP1 catalytic domain (PDB ID: 4UND) confirmed strong target affinities for anti-TNBC agents, with irinotecan (-10.22 kcal/mol), abemaciclib (-9.06 kcal/mol), lapatinib (-8.83 kcal/mol), and olaparib (-8.76 kcal/mol) exhibiting top scores.</w:t>
      </w:r>
    </w:p>
    <w:p>
      <w:pPr>
        <w:spacing w:after="80"/>
        <w:ind w:left="432"/>
      </w:pPr>
      <w:r>
        <w:t>2. Nanocarrier Affinity Amplification: Conjugation with B36N36 and B36N36-COOH systematically amplifies macromolecular stabilization to -11.13 kcal/mol and -12.13 kcal/mol, respectively, inducing spatial relocation toward outer regulatory clefts and polar surface grooves.</w:t>
      </w:r>
    </w:p>
    <w:p>
      <w:pPr>
        <w:spacing w:after="80"/>
        <w:ind w:left="432"/>
      </w:pPr>
      <w:r>
        <w:t>3. Leak-Free Machine Learning Benchmark: A Ridge surrogate model evaluated by fully leak-free nested 5x5 cross-validation achieved modest, non-overfit predictive accuracy (Q2_CV = 0.109-0.173, RMSE 1.28-1.43 kcal/mol across the three systems), an honest exploratory baseline for this sample size.</w:t>
      </w:r>
    </w:p>
    <w:p>
      <w:pPr>
        <w:spacing w:after="80"/>
        <w:ind w:left="432"/>
      </w:pPr>
      <w:r>
        <w:t>4. Biophysical Interpretability &amp; OECD Compliance: SHAP analysis demonstrated that nanocarrier adsorption energy (ΔE_ads), aromatic ring density, and electronic chemical potential (μ) drive complex stabilization. Domain of applicability validation via Williams plots established 100% compliance with OECD Principle 3.</w:t>
      </w:r>
    </w:p>
    <w:p>
      <w:pPr>
        <w:spacing w:after="80"/>
        <w:ind w:left="432"/>
      </w:pPr>
      <w:r>
        <w:t>5. Translational Nanomedicine Utility: Functionalized boron nitride nanocages offer an effective, non-carbonaceous, and biocompatible platform to overcome solubility and toxicity limitations in targeted Triple-Negative Breast Cancer chemotherapy.</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0D47A1"/>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0D47A1"/>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0D47A1"/>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0D47A1"/>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0D47A1"/>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0D47A1"/>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0D47A1"/>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0D47A1"/>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0D47A1"/>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0D47A1"/>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0D47A1"/>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0D47A1"/>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0D47A1"/>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0D47A1"/>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0D47A1"/>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0D47A1"/>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0D47A1"/>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0D47A1"/>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0D47A1"/>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0D47A1"/>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0D47A1"/>
          <w:sz w:val="18"/>
        </w:rPr>
        <w:t>doi:10.1145/2939672.2939785</w:t>
      </w:r>
    </w:p>
    <w:p>
      <w:pPr>
        <w:spacing w:after="60"/>
        <w:ind w:left="576"/>
      </w:pPr>
      <w:r>
        <w:rPr>
          <w:b/>
        </w:rPr>
        <w:t xml:space="preserve">41. </w:t>
      </w:r>
      <w:r>
        <w:t xml:space="preserve">Geurts, P.; Ernst, D.; Wehenkel, L. Extremely randomized trees. Mach. Learn.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0D47A1"/>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