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constrained by non-specific tissue distribution, off-target toxicities and rapid clearance [3-5]. Here we present an integrated computational framework combining GFN2-xTB tight-binding quantum chemistry (with D4 dispersion) [25,26], physical molecular docking (AutoDock Vina v1.2.7 [31,32]), and a leak-free cross-validated explainable QSAR/QSPR surrogate, to evaluate the pristine inorganic boron nitride nanocage B36N36 as a non-carbonaceous drug-loading scaffold for 33 anti-TNBC therapeutics. Frontier-orbital energies and conceptual-DFT reactivity indices (chemical hardness eta, softness S, electrophilicity omega) were read directly from the GFN2-xTB output. Docking against the human PARP1 catalytic domain (PDB ID: 4UND) is reported as an exploratory ranking only: self-redocking of the co-crystallized ligand reproduced the native pose only within &gt;4 Å heavy-atom RMSD, so Vina scores (mean -7.22 kcal/mol, range -10.2 to -3.9) are not used as a quantitative endpoint. Real GFN2-xTB single-point interaction energies of the 33 drugs on the pristine B36N36 cage average -2.8 kcal/mol (range -20.5 to +9.8 kcal/mol). A carboxylated B36N36-COOH derivative is discussed only as future work, since no real structural or quantum data for it exist in this study. A StandardScaler + RidgeCV surrogate evaluated by leak-free nested 5x5 cross-validation is non-predictive on both real-data systems (Q2_CV = -0.036 isolated, -0.626 pristine B36N36); the model and its feature-importance ranking are reported as an honest exploratory baseline, not a validated structure-activity relationship. OECD Principle 3 applicability-domain analysis (Williams leverage) places 33/35 and 31/33 compounds inside the domain. Every value reported is computed from the deposited pipeline; no descriptor or energy is estimated from an empirical formula.</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358454"/>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358454"/>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Computational Methods</w:t>
      </w:r>
    </w:p>
    <w:p>
      <w:pPr>
        <w:pStyle w:val="Heading2"/>
        <w:keepNext/>
        <w:spacing w:before="280" w:after="120"/>
      </w:pPr>
      <w:r>
        <w:rPr>
          <w:rFonts w:ascii="Arial" w:hAnsi="Arial"/>
          <w:b/>
          <w:color w:val="1565C0"/>
          <w:sz w:val="24"/>
        </w:rPr>
        <w:t>2.1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Of these, 35 completed docking and 33 have a converged GFN2-xTB drug-cage complex; the analyses below use those real subsets.</w:t>
      </w:r>
    </w:p>
    <w:p>
      <w:pPr>
        <w:pStyle w:val="Heading2"/>
        <w:keepNext/>
        <w:spacing w:before="280" w:after="120"/>
      </w:pPr>
      <w:r>
        <w:rPr>
          <w:rFonts w:ascii="Arial" w:hAnsi="Arial"/>
          <w:b/>
          <w:color w:val="1565C0"/>
          <w:sz w:val="24"/>
        </w:rPr>
        <w:t>2.2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2.3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2.4 Machine Learning, Explainable AI (SHAP), and OECD Validation</w:t>
      </w:r>
    </w:p>
    <w:p>
      <w:r>
        <w:t>A regularized RidgeCV surrogate model with four pre-specified descriptors (MW, molar refractivity, E_HOMO, electrophilicity omega; n = 35 for the isolated-drug system and n = 33 for the pristine-B36N36 system)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3.2.</w:t>
      </w:r>
    </w:p>
    <w:p>
      <w:pPr>
        <w:jc w:val="center"/>
      </w:pPr>
    </w:p>
    <w:p>
      <w:r>
        <w:drawing>
          <wp:inline xmlns:a="http://schemas.openxmlformats.org/drawingml/2006/main" xmlns:pic="http://schemas.openxmlformats.org/drawingml/2006/picture">
            <wp:extent cx="5669280" cy="1958695"/>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58695"/>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3.2 Physical Molecular Docking on PARP1 and Active Site Relocation</w:t>
      </w:r>
    </w:p>
    <w:p>
      <w:r>
        <w:t>Table 1 presents the physical binding free energies computed directly with AutoDock Vina v1.2.7 for the 20 therapeutics with real docking against human PARP1 (PDB: 4UND) that also have a real GFN2-xTB single-point interaction energy computed against the pristine B36N36 cage, alongside that real interaction energy. Isolated therapeutics in this overlap span from -9.06 kcal/mol (abemaciclib) to -6.16 kcal/mol (rucaparib); real B36N36 interaction energies range from -0.38 to -4.83 kcal/mol and do not track isolated affinity monotonically. No real structural or quantum data exists for the carboxylated B36N36-COOH derivative, so it is not reported in this table.</w:t>
      </w:r>
    </w:p>
    <w:p>
      <w:r>
        <w:rPr>
          <w:b/>
        </w:rPr>
        <w:t>Table 1. Physical AutoDock Vina v1.2.7 binding affinities on human PARP1 (PDB ID: 4UND) and real GFN2-xTB single-point interaction energies on pristine B36N36 (real data only, n=20 compounds with both).</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Mechanistic Class</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Isolated Vina (kcal/mol)</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 real ΔE_int,SP (kcal/mol)</w:t>
            </w:r>
          </w:p>
        </w:tc>
      </w:tr>
      <w:tr>
        <w:tc>
          <w:tcPr>
            <w:tcW w:type="dxa" w:w="1872"/>
            <w:vAlign w:val="center"/>
            <w:shd w:fill="F5F5F5"/>
            <w:tcMar>
              <w:top w:w="60" w:type="dxa"/>
              <w:bottom w:w="60" w:type="dxa"/>
              <w:left w:w="100" w:type="dxa"/>
              <w:right w:w="100" w:type="dxa"/>
            </w:tcMar>
          </w:tcPr>
          <w:p>
            <w:pPr>
              <w:spacing w:before="40" w:after="40"/>
              <w:jc w:val="left"/>
            </w:pPr>
            <w:r>
              <w:rPr>
                <w:b/>
                <w:sz w:val="18"/>
              </w:rPr>
              <w:t>Abemaciclib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DB12001</w:t>
            </w:r>
          </w:p>
        </w:tc>
        <w:tc>
          <w:tcPr>
            <w:tcW w:type="dxa" w:w="1872"/>
            <w:vAlign w:val="center"/>
            <w:shd w:fill="F5F5F5"/>
            <w:tcMar>
              <w:top w:w="60" w:type="dxa"/>
              <w:bottom w:w="60" w:type="dxa"/>
              <w:left w:w="100" w:type="dxa"/>
              <w:right w:w="100" w:type="dxa"/>
            </w:tcMar>
          </w:tcPr>
          <w:p>
            <w:pPr>
              <w:spacing w:before="40" w:after="40"/>
              <w:jc w:val="center"/>
            </w:pPr>
            <w:r>
              <w:rPr>
                <w:sz w:val="18"/>
              </w:rPr>
              <w:t>-9.06</w:t>
            </w:r>
          </w:p>
        </w:tc>
        <w:tc>
          <w:tcPr>
            <w:tcW w:type="dxa" w:w="1872"/>
            <w:vAlign w:val="center"/>
            <w:shd w:fill="F5F5F5"/>
            <w:tcMar>
              <w:top w:w="60" w:type="dxa"/>
              <w:bottom w:w="60" w:type="dxa"/>
              <w:left w:w="100" w:type="dxa"/>
              <w:right w:w="100" w:type="dxa"/>
            </w:tcMar>
          </w:tcPr>
          <w:p>
            <w:pPr>
              <w:spacing w:before="40" w:after="40"/>
              <w:jc w:val="center"/>
            </w:pPr>
            <w:r>
              <w:rPr>
                <w:sz w:val="18"/>
              </w:rPr>
              <w:t>-1.41</w:t>
            </w:r>
          </w:p>
        </w:tc>
      </w:tr>
      <w:tr>
        <w:tc>
          <w:tcPr>
            <w:tcW w:type="dxa" w:w="1872"/>
            <w:vAlign w:val="center"/>
            <w:shd w:fill="FFFFFF"/>
            <w:tcMar>
              <w:top w:w="60" w:type="dxa"/>
              <w:bottom w:w="60" w:type="dxa"/>
              <w:left w:w="100" w:type="dxa"/>
              <w:right w:w="100" w:type="dxa"/>
            </w:tcMar>
          </w:tcPr>
          <w:p>
            <w:pPr>
              <w:spacing w:before="40" w:after="40"/>
              <w:jc w:val="left"/>
            </w:pPr>
            <w:r>
              <w:rPr>
                <w:b/>
                <w:sz w:val="18"/>
              </w:rPr>
              <w:t>Lapatinib</w:t>
            </w:r>
          </w:p>
        </w:tc>
        <w:tc>
          <w:tcPr>
            <w:tcW w:type="dxa" w:w="1872"/>
            <w:vAlign w:val="center"/>
            <w:shd w:fill="FFFFFF"/>
            <w:tcMar>
              <w:top w:w="60" w:type="dxa"/>
              <w:bottom w:w="60" w:type="dxa"/>
              <w:left w:w="100" w:type="dxa"/>
              <w:right w:w="100" w:type="dxa"/>
            </w:tcMar>
          </w:tcPr>
          <w:p>
            <w:pPr>
              <w:spacing w:before="40" w:after="40"/>
              <w:jc w:val="left"/>
            </w:pPr>
            <w:r>
              <w:rPr>
                <w:sz w:val="18"/>
              </w:rPr>
              <w:t>EGFR/HER2 Inhibitor</w:t>
            </w:r>
          </w:p>
        </w:tc>
        <w:tc>
          <w:tcPr>
            <w:tcW w:type="dxa" w:w="1872"/>
            <w:vAlign w:val="center"/>
            <w:shd w:fill="FFFFFF"/>
            <w:tcMar>
              <w:top w:w="60" w:type="dxa"/>
              <w:bottom w:w="60" w:type="dxa"/>
              <w:left w:w="100" w:type="dxa"/>
              <w:right w:w="100" w:type="dxa"/>
            </w:tcMar>
          </w:tcPr>
          <w:p>
            <w:pPr>
              <w:spacing w:before="40" w:after="40"/>
              <w:jc w:val="left"/>
            </w:pPr>
            <w:r>
              <w:rPr>
                <w:sz w:val="18"/>
              </w:rPr>
              <w:t>DB01259</w:t>
            </w:r>
          </w:p>
        </w:tc>
        <w:tc>
          <w:tcPr>
            <w:tcW w:type="dxa" w:w="1872"/>
            <w:vAlign w:val="center"/>
            <w:shd w:fill="FFFFFF"/>
            <w:tcMar>
              <w:top w:w="60" w:type="dxa"/>
              <w:bottom w:w="60" w:type="dxa"/>
              <w:left w:w="100" w:type="dxa"/>
              <w:right w:w="100" w:type="dxa"/>
            </w:tcMar>
          </w:tcPr>
          <w:p>
            <w:pPr>
              <w:spacing w:before="40" w:after="40"/>
              <w:jc w:val="center"/>
            </w:pPr>
            <w:r>
              <w:rPr>
                <w:sz w:val="18"/>
              </w:rPr>
              <w:t>-8.83</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Olaparib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DB00140</w:t>
            </w:r>
          </w:p>
        </w:tc>
        <w:tc>
          <w:tcPr>
            <w:tcW w:type="dxa" w:w="1872"/>
            <w:vAlign w:val="center"/>
            <w:shd w:fill="F5F5F5"/>
            <w:tcMar>
              <w:top w:w="60" w:type="dxa"/>
              <w:bottom w:w="60" w:type="dxa"/>
              <w:left w:w="100" w:type="dxa"/>
              <w:right w:w="100" w:type="dxa"/>
            </w:tcMar>
          </w:tcPr>
          <w:p>
            <w:pPr>
              <w:spacing w:before="40" w:after="40"/>
              <w:jc w:val="center"/>
            </w:pPr>
            <w:r>
              <w:rPr>
                <w:sz w:val="18"/>
              </w:rPr>
              <w:t>-8.76</w:t>
            </w:r>
          </w:p>
        </w:tc>
        <w:tc>
          <w:tcPr>
            <w:tcW w:type="dxa" w:w="1872"/>
            <w:vAlign w:val="center"/>
            <w:shd w:fill="F5F5F5"/>
            <w:tcMar>
              <w:top w:w="60" w:type="dxa"/>
              <w:bottom w:w="60" w:type="dxa"/>
              <w:left w:w="100" w:type="dxa"/>
              <w:right w:w="100" w:type="dxa"/>
            </w:tcMar>
          </w:tcPr>
          <w:p>
            <w:pPr>
              <w:spacing w:before="40" w:after="40"/>
              <w:jc w:val="center"/>
            </w:pPr>
            <w:r>
              <w:rPr>
                <w:sz w:val="18"/>
              </w:rPr>
              <w:t>-0.38</w:t>
            </w:r>
          </w:p>
        </w:tc>
      </w:tr>
      <w:tr>
        <w:tc>
          <w:tcPr>
            <w:tcW w:type="dxa" w:w="1872"/>
            <w:vAlign w:val="center"/>
            <w:shd w:fill="FFFFFF"/>
            <w:tcMar>
              <w:top w:w="60" w:type="dxa"/>
              <w:bottom w:w="60" w:type="dxa"/>
              <w:left w:w="100" w:type="dxa"/>
              <w:right w:w="100" w:type="dxa"/>
            </w:tcMar>
          </w:tcPr>
          <w:p>
            <w:pPr>
              <w:spacing w:before="40" w:after="40"/>
              <w:jc w:val="left"/>
            </w:pPr>
            <w:r>
              <w:rPr>
                <w:b/>
                <w:sz w:val="18"/>
              </w:rPr>
              <w:t>Exatecan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DXd precursor</w:t>
            </w:r>
          </w:p>
        </w:tc>
        <w:tc>
          <w:tcPr>
            <w:tcW w:type="dxa" w:w="1872"/>
            <w:vAlign w:val="center"/>
            <w:shd w:fill="FFFFFF"/>
            <w:tcMar>
              <w:top w:w="60" w:type="dxa"/>
              <w:bottom w:w="60" w:type="dxa"/>
              <w:left w:w="100" w:type="dxa"/>
              <w:right w:w="100" w:type="dxa"/>
            </w:tcMar>
          </w:tcPr>
          <w:p>
            <w:pPr>
              <w:spacing w:before="40" w:after="40"/>
              <w:jc w:val="left"/>
            </w:pPr>
            <w:r>
              <w:rPr>
                <w:sz w:val="18"/>
              </w:rPr>
              <w:t>DB04982</w:t>
            </w:r>
          </w:p>
        </w:tc>
        <w:tc>
          <w:tcPr>
            <w:tcW w:type="dxa" w:w="1872"/>
            <w:vAlign w:val="center"/>
            <w:shd w:fill="FFFFFF"/>
            <w:tcMar>
              <w:top w:w="60" w:type="dxa"/>
              <w:bottom w:w="60" w:type="dxa"/>
              <w:left w:w="100" w:type="dxa"/>
              <w:right w:w="100" w:type="dxa"/>
            </w:tcMar>
          </w:tcPr>
          <w:p>
            <w:pPr>
              <w:spacing w:before="40" w:after="40"/>
              <w:jc w:val="center"/>
            </w:pPr>
            <w:r>
              <w:rPr>
                <w:sz w:val="18"/>
              </w:rPr>
              <w:t>-8.40</w:t>
            </w:r>
          </w:p>
        </w:tc>
        <w:tc>
          <w:tcPr>
            <w:tcW w:type="dxa" w:w="1872"/>
            <w:vAlign w:val="center"/>
            <w:shd w:fill="FFFFFF"/>
            <w:tcMar>
              <w:top w:w="60" w:type="dxa"/>
              <w:bottom w:w="60" w:type="dxa"/>
              <w:left w:w="100" w:type="dxa"/>
              <w:right w:w="100" w:type="dxa"/>
            </w:tcMar>
          </w:tcPr>
          <w:p>
            <w:pPr>
              <w:spacing w:before="40" w:after="40"/>
              <w:jc w:val="center"/>
            </w:pPr>
            <w:r>
              <w:rPr>
                <w:sz w:val="18"/>
              </w:rPr>
              <w:t>-2.15</w:t>
            </w:r>
          </w:p>
        </w:tc>
      </w:tr>
      <w:tr>
        <w:tc>
          <w:tcPr>
            <w:tcW w:type="dxa" w:w="1872"/>
            <w:vAlign w:val="center"/>
            <w:shd w:fill="F5F5F5"/>
            <w:tcMar>
              <w:top w:w="60" w:type="dxa"/>
              <w:bottom w:w="60" w:type="dxa"/>
              <w:left w:w="100" w:type="dxa"/>
              <w:right w:w="100" w:type="dxa"/>
            </w:tcMar>
          </w:tcPr>
          <w:p>
            <w:pPr>
              <w:spacing w:before="40" w:after="40"/>
              <w:jc w:val="left"/>
            </w:pPr>
            <w:r>
              <w:rPr>
                <w:b/>
                <w:sz w:val="18"/>
              </w:rPr>
              <w:t>Palbociclib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DB09073</w:t>
            </w:r>
          </w:p>
        </w:tc>
        <w:tc>
          <w:tcPr>
            <w:tcW w:type="dxa" w:w="1872"/>
            <w:vAlign w:val="center"/>
            <w:shd w:fill="F5F5F5"/>
            <w:tcMar>
              <w:top w:w="60" w:type="dxa"/>
              <w:bottom w:w="60" w:type="dxa"/>
              <w:left w:w="100" w:type="dxa"/>
              <w:right w:w="100" w:type="dxa"/>
            </w:tcMar>
          </w:tcPr>
          <w:p>
            <w:pPr>
              <w:spacing w:before="40" w:after="40"/>
              <w:jc w:val="center"/>
            </w:pPr>
            <w:r>
              <w:rPr>
                <w:sz w:val="18"/>
              </w:rPr>
              <w:t>-8.17</w:t>
            </w:r>
          </w:p>
        </w:tc>
        <w:tc>
          <w:tcPr>
            <w:tcW w:type="dxa" w:w="1872"/>
            <w:vAlign w:val="center"/>
            <w:shd w:fill="F5F5F5"/>
            <w:tcMar>
              <w:top w:w="60" w:type="dxa"/>
              <w:bottom w:w="60" w:type="dxa"/>
              <w:left w:w="100" w:type="dxa"/>
              <w:right w:w="100" w:type="dxa"/>
            </w:tcMar>
          </w:tcPr>
          <w:p>
            <w:pPr>
              <w:spacing w:before="40" w:after="40"/>
              <w:jc w:val="center"/>
            </w:pPr>
            <w:r>
              <w:rPr>
                <w:sz w:val="18"/>
              </w:rPr>
              <w:t>-1.33</w:t>
            </w:r>
          </w:p>
        </w:tc>
      </w:tr>
      <w:tr>
        <w:tc>
          <w:tcPr>
            <w:tcW w:type="dxa" w:w="1872"/>
            <w:vAlign w:val="center"/>
            <w:shd w:fill="FFFFFF"/>
            <w:tcMar>
              <w:top w:w="60" w:type="dxa"/>
              <w:bottom w:w="60" w:type="dxa"/>
              <w:left w:w="100" w:type="dxa"/>
              <w:right w:w="100" w:type="dxa"/>
            </w:tcMar>
          </w:tcPr>
          <w:p>
            <w:pPr>
              <w:spacing w:before="40" w:after="40"/>
              <w:jc w:val="left"/>
            </w:pPr>
            <w:r>
              <w:rPr>
                <w:b/>
                <w:sz w:val="18"/>
              </w:rPr>
              <w:t>Alpelisib</w:t>
            </w:r>
          </w:p>
        </w:tc>
        <w:tc>
          <w:tcPr>
            <w:tcW w:type="dxa" w:w="1872"/>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872"/>
            <w:vAlign w:val="center"/>
            <w:shd w:fill="FFFFFF"/>
            <w:tcMar>
              <w:top w:w="60" w:type="dxa"/>
              <w:bottom w:w="60" w:type="dxa"/>
              <w:left w:w="100" w:type="dxa"/>
              <w:right w:w="100" w:type="dxa"/>
            </w:tcMar>
          </w:tcPr>
          <w:p>
            <w:pPr>
              <w:spacing w:before="40" w:after="40"/>
              <w:jc w:val="left"/>
            </w:pPr>
            <w:r>
              <w:rPr>
                <w:sz w:val="18"/>
              </w:rPr>
              <w:t>DB12001</w:t>
            </w:r>
          </w:p>
        </w:tc>
        <w:tc>
          <w:tcPr>
            <w:tcW w:type="dxa" w:w="1872"/>
            <w:vAlign w:val="center"/>
            <w:shd w:fill="FFFFFF"/>
            <w:tcMar>
              <w:top w:w="60" w:type="dxa"/>
              <w:bottom w:w="60" w:type="dxa"/>
              <w:left w:w="100" w:type="dxa"/>
              <w:right w:w="100" w:type="dxa"/>
            </w:tcMar>
          </w:tcPr>
          <w:p>
            <w:pPr>
              <w:spacing w:before="40" w:after="40"/>
              <w:jc w:val="center"/>
            </w:pPr>
            <w:r>
              <w:rPr>
                <w:sz w:val="18"/>
              </w:rPr>
              <w:t>-8.01</w:t>
            </w:r>
          </w:p>
        </w:tc>
        <w:tc>
          <w:tcPr>
            <w:tcW w:type="dxa" w:w="1872"/>
            <w:vAlign w:val="center"/>
            <w:shd w:fill="FFFFFF"/>
            <w:tcMar>
              <w:top w:w="60" w:type="dxa"/>
              <w:bottom w:w="60" w:type="dxa"/>
              <w:left w:w="100" w:type="dxa"/>
              <w:right w:w="100" w:type="dxa"/>
            </w:tcMar>
          </w:tcPr>
          <w:p>
            <w:pPr>
              <w:spacing w:before="40" w:after="40"/>
              <w:jc w:val="center"/>
            </w:pPr>
            <w:r>
              <w:rPr>
                <w:sz w:val="18"/>
              </w:rPr>
              <w:t>-0.97</w:t>
            </w:r>
          </w:p>
        </w:tc>
      </w:tr>
      <w:tr>
        <w:tc>
          <w:tcPr>
            <w:tcW w:type="dxa" w:w="1872"/>
            <w:vAlign w:val="center"/>
            <w:shd w:fill="F5F5F5"/>
            <w:tcMar>
              <w:top w:w="60" w:type="dxa"/>
              <w:bottom w:w="60" w:type="dxa"/>
              <w:left w:w="100" w:type="dxa"/>
              <w:right w:w="100" w:type="dxa"/>
            </w:tcMar>
          </w:tcPr>
          <w:p>
            <w:pPr>
              <w:spacing w:before="40" w:after="40"/>
              <w:jc w:val="left"/>
            </w:pPr>
            <w:r>
              <w:rPr>
                <w:b/>
                <w:sz w:val="18"/>
              </w:rPr>
              <w:t>Talazoparib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DB11760</w:t>
            </w:r>
          </w:p>
        </w:tc>
        <w:tc>
          <w:tcPr>
            <w:tcW w:type="dxa" w:w="1872"/>
            <w:vAlign w:val="center"/>
            <w:shd w:fill="F5F5F5"/>
            <w:tcMar>
              <w:top w:w="60" w:type="dxa"/>
              <w:bottom w:w="60" w:type="dxa"/>
              <w:left w:w="100" w:type="dxa"/>
              <w:right w:w="100" w:type="dxa"/>
            </w:tcMar>
          </w:tcPr>
          <w:p>
            <w:pPr>
              <w:spacing w:before="40" w:after="40"/>
              <w:jc w:val="center"/>
            </w:pPr>
            <w:r>
              <w:rPr>
                <w:sz w:val="18"/>
              </w:rPr>
              <w:t>-7.89</w:t>
            </w:r>
          </w:p>
        </w:tc>
        <w:tc>
          <w:tcPr>
            <w:tcW w:type="dxa" w:w="1872"/>
            <w:vAlign w:val="center"/>
            <w:shd w:fill="F5F5F5"/>
            <w:tcMar>
              <w:top w:w="60" w:type="dxa"/>
              <w:bottom w:w="60" w:type="dxa"/>
              <w:left w:w="100" w:type="dxa"/>
              <w:right w:w="100" w:type="dxa"/>
            </w:tcMar>
          </w:tcPr>
          <w:p>
            <w:pPr>
              <w:spacing w:before="40" w:after="40"/>
              <w:jc w:val="center"/>
            </w:pPr>
            <w:r>
              <w:rPr>
                <w:sz w:val="18"/>
              </w:rPr>
              <w:t>-1.53</w:t>
            </w:r>
          </w:p>
        </w:tc>
      </w:tr>
      <w:tr>
        <w:tc>
          <w:tcPr>
            <w:tcW w:type="dxa" w:w="1872"/>
            <w:vAlign w:val="center"/>
            <w:shd w:fill="FFFFFF"/>
            <w:tcMar>
              <w:top w:w="60" w:type="dxa"/>
              <w:bottom w:w="60" w:type="dxa"/>
              <w:left w:w="100" w:type="dxa"/>
              <w:right w:w="100" w:type="dxa"/>
            </w:tcMar>
          </w:tcPr>
          <w:p>
            <w:pPr>
              <w:spacing w:before="40" w:after="40"/>
              <w:jc w:val="left"/>
            </w:pPr>
            <w:r>
              <w:rPr>
                <w:b/>
                <w:sz w:val="18"/>
              </w:rPr>
              <w:t>Topotecan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872"/>
            <w:vAlign w:val="center"/>
            <w:shd w:fill="FFFFFF"/>
            <w:tcMar>
              <w:top w:w="60" w:type="dxa"/>
              <w:bottom w:w="60" w:type="dxa"/>
              <w:left w:w="100" w:type="dxa"/>
              <w:right w:w="100" w:type="dxa"/>
            </w:tcMar>
          </w:tcPr>
          <w:p>
            <w:pPr>
              <w:spacing w:before="40" w:after="40"/>
              <w:jc w:val="left"/>
            </w:pPr>
            <w:r>
              <w:rPr>
                <w:sz w:val="18"/>
              </w:rPr>
              <w:t>DB01030</w:t>
            </w:r>
          </w:p>
        </w:tc>
        <w:tc>
          <w:tcPr>
            <w:tcW w:type="dxa" w:w="1872"/>
            <w:vAlign w:val="center"/>
            <w:shd w:fill="FFFFFF"/>
            <w:tcMar>
              <w:top w:w="60" w:type="dxa"/>
              <w:bottom w:w="60" w:type="dxa"/>
              <w:left w:w="100" w:type="dxa"/>
              <w:right w:w="100" w:type="dxa"/>
            </w:tcMar>
          </w:tcPr>
          <w:p>
            <w:pPr>
              <w:spacing w:before="40" w:after="40"/>
              <w:jc w:val="center"/>
            </w:pPr>
            <w:r>
              <w:rPr>
                <w:sz w:val="18"/>
              </w:rPr>
              <w:t>-7.84</w:t>
            </w:r>
          </w:p>
        </w:tc>
        <w:tc>
          <w:tcPr>
            <w:tcW w:type="dxa" w:w="1872"/>
            <w:vAlign w:val="center"/>
            <w:shd w:fill="FFFFFF"/>
            <w:tcMar>
              <w:top w:w="60" w:type="dxa"/>
              <w:bottom w:w="60" w:type="dxa"/>
              <w:left w:w="100" w:type="dxa"/>
              <w:right w:w="100" w:type="dxa"/>
            </w:tcMar>
          </w:tcPr>
          <w:p>
            <w:pPr>
              <w:spacing w:before="40" w:after="40"/>
              <w:jc w:val="center"/>
            </w:pPr>
            <w:r>
              <w:rPr>
                <w:sz w:val="18"/>
              </w:rPr>
              <w:t>-2.51</w:t>
            </w:r>
          </w:p>
        </w:tc>
      </w:tr>
      <w:tr>
        <w:tc>
          <w:tcPr>
            <w:tcW w:type="dxa" w:w="1872"/>
            <w:vAlign w:val="center"/>
            <w:shd w:fill="F5F5F5"/>
            <w:tcMar>
              <w:top w:w="60" w:type="dxa"/>
              <w:bottom w:w="60" w:type="dxa"/>
              <w:left w:w="100" w:type="dxa"/>
              <w:right w:w="100" w:type="dxa"/>
            </w:tcMar>
          </w:tcPr>
          <w:p>
            <w:pPr>
              <w:spacing w:before="40" w:after="40"/>
              <w:jc w:val="left"/>
            </w:pPr>
            <w:r>
              <w:rPr>
                <w:b/>
                <w:sz w:val="18"/>
              </w:rPr>
              <w:t>Etoposide</w:t>
            </w:r>
          </w:p>
        </w:tc>
        <w:tc>
          <w:tcPr>
            <w:tcW w:type="dxa" w:w="1872"/>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872"/>
            <w:vAlign w:val="center"/>
            <w:shd w:fill="F5F5F5"/>
            <w:tcMar>
              <w:top w:w="60" w:type="dxa"/>
              <w:bottom w:w="60" w:type="dxa"/>
              <w:left w:w="100" w:type="dxa"/>
              <w:right w:w="100" w:type="dxa"/>
            </w:tcMar>
          </w:tcPr>
          <w:p>
            <w:pPr>
              <w:spacing w:before="40" w:after="40"/>
              <w:jc w:val="left"/>
            </w:pPr>
            <w:r>
              <w:rPr>
                <w:sz w:val="18"/>
              </w:rPr>
              <w:t>DB00773</w:t>
            </w:r>
          </w:p>
        </w:tc>
        <w:tc>
          <w:tcPr>
            <w:tcW w:type="dxa" w:w="1872"/>
            <w:vAlign w:val="center"/>
            <w:shd w:fill="F5F5F5"/>
            <w:tcMar>
              <w:top w:w="60" w:type="dxa"/>
              <w:bottom w:w="60" w:type="dxa"/>
              <w:left w:w="100" w:type="dxa"/>
              <w:right w:w="100" w:type="dxa"/>
            </w:tcMar>
          </w:tcPr>
          <w:p>
            <w:pPr>
              <w:spacing w:before="40" w:after="40"/>
              <w:jc w:val="center"/>
            </w:pPr>
            <w:r>
              <w:rPr>
                <w:sz w:val="18"/>
              </w:rPr>
              <w:t>-7.79</w:t>
            </w:r>
          </w:p>
        </w:tc>
        <w:tc>
          <w:tcPr>
            <w:tcW w:type="dxa" w:w="1872"/>
            <w:vAlign w:val="center"/>
            <w:shd w:fill="F5F5F5"/>
            <w:tcMar>
              <w:top w:w="60" w:type="dxa"/>
              <w:bottom w:w="60" w:type="dxa"/>
              <w:left w:w="100" w:type="dxa"/>
              <w:right w:w="100" w:type="dxa"/>
            </w:tcMar>
          </w:tcPr>
          <w:p>
            <w:pPr>
              <w:spacing w:before="40" w:after="40"/>
              <w:jc w:val="center"/>
            </w:pPr>
            <w:r>
              <w:rPr>
                <w:sz w:val="18"/>
              </w:rPr>
              <w:t>-4.83</w:t>
            </w:r>
          </w:p>
        </w:tc>
      </w:tr>
      <w:tr>
        <w:tc>
          <w:tcPr>
            <w:tcW w:type="dxa" w:w="1872"/>
            <w:vAlign w:val="center"/>
            <w:shd w:fill="FFFFFF"/>
            <w:tcMar>
              <w:top w:w="60" w:type="dxa"/>
              <w:bottom w:w="60" w:type="dxa"/>
              <w:left w:w="100" w:type="dxa"/>
              <w:right w:w="100" w:type="dxa"/>
            </w:tcMar>
          </w:tcPr>
          <w:p>
            <w:pPr>
              <w:spacing w:before="40" w:after="40"/>
              <w:jc w:val="left"/>
            </w:pPr>
            <w:r>
              <w:rPr>
                <w:b/>
                <w:sz w:val="18"/>
              </w:rPr>
              <w:t>Pamiparib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DB15002</w:t>
            </w:r>
          </w:p>
        </w:tc>
        <w:tc>
          <w:tcPr>
            <w:tcW w:type="dxa" w:w="1872"/>
            <w:vAlign w:val="center"/>
            <w:shd w:fill="FFFFFF"/>
            <w:tcMar>
              <w:top w:w="60" w:type="dxa"/>
              <w:bottom w:w="60" w:type="dxa"/>
              <w:left w:w="100" w:type="dxa"/>
              <w:right w:w="100" w:type="dxa"/>
            </w:tcMar>
          </w:tcPr>
          <w:p>
            <w:pPr>
              <w:spacing w:before="40" w:after="40"/>
              <w:jc w:val="center"/>
            </w:pPr>
            <w:r>
              <w:rPr>
                <w:sz w:val="18"/>
              </w:rPr>
              <w:t>-7.75</w:t>
            </w:r>
          </w:p>
        </w:tc>
        <w:tc>
          <w:tcPr>
            <w:tcW w:type="dxa" w:w="1872"/>
            <w:vAlign w:val="center"/>
            <w:shd w:fill="FFFFFF"/>
            <w:tcMar>
              <w:top w:w="60" w:type="dxa"/>
              <w:bottom w:w="60" w:type="dxa"/>
              <w:left w:w="100" w:type="dxa"/>
              <w:right w:w="100" w:type="dxa"/>
            </w:tcMar>
          </w:tcPr>
          <w:p>
            <w:pPr>
              <w:spacing w:before="40" w:after="40"/>
              <w:jc w:val="center"/>
            </w:pPr>
            <w:r>
              <w:rPr>
                <w:sz w:val="18"/>
              </w:rPr>
              <w:t>-4.12</w:t>
            </w:r>
          </w:p>
        </w:tc>
      </w:tr>
      <w:tr>
        <w:tc>
          <w:tcPr>
            <w:tcW w:type="dxa" w:w="1872"/>
            <w:vAlign w:val="center"/>
            <w:shd w:fill="F5F5F5"/>
            <w:tcMar>
              <w:top w:w="60" w:type="dxa"/>
              <w:bottom w:w="60" w:type="dxa"/>
              <w:left w:w="100" w:type="dxa"/>
              <w:right w:w="100" w:type="dxa"/>
            </w:tcMar>
          </w:tcPr>
          <w:p>
            <w:pPr>
              <w:spacing w:before="40" w:after="40"/>
              <w:jc w:val="left"/>
            </w:pPr>
            <w:r>
              <w:rPr>
                <w:b/>
                <w:sz w:val="18"/>
              </w:rPr>
              <w:t>Eribulin</w:t>
            </w:r>
          </w:p>
        </w:tc>
        <w:tc>
          <w:tcPr>
            <w:tcW w:type="dxa" w:w="1872"/>
            <w:vAlign w:val="center"/>
            <w:shd w:fill="F5F5F5"/>
            <w:tcMar>
              <w:top w:w="60" w:type="dxa"/>
              <w:bottom w:w="60" w:type="dxa"/>
              <w:left w:w="100" w:type="dxa"/>
              <w:right w:w="100" w:type="dxa"/>
            </w:tcMar>
          </w:tcPr>
          <w:p>
            <w:pPr>
              <w:spacing w:before="40" w:after="40"/>
              <w:jc w:val="left"/>
            </w:pPr>
            <w:r>
              <w:rPr>
                <w:sz w:val="18"/>
              </w:rPr>
              <w:t>Halichondrin B Analog</w:t>
            </w:r>
          </w:p>
        </w:tc>
        <w:tc>
          <w:tcPr>
            <w:tcW w:type="dxa" w:w="1872"/>
            <w:vAlign w:val="center"/>
            <w:shd w:fill="F5F5F5"/>
            <w:tcMar>
              <w:top w:w="60" w:type="dxa"/>
              <w:bottom w:w="60" w:type="dxa"/>
              <w:left w:w="100" w:type="dxa"/>
              <w:right w:w="100" w:type="dxa"/>
            </w:tcMar>
          </w:tcPr>
          <w:p>
            <w:pPr>
              <w:spacing w:before="40" w:after="40"/>
              <w:jc w:val="left"/>
            </w:pPr>
            <w:r>
              <w:rPr>
                <w:sz w:val="18"/>
              </w:rPr>
              <w:t>DB08871</w:t>
            </w:r>
          </w:p>
        </w:tc>
        <w:tc>
          <w:tcPr>
            <w:tcW w:type="dxa" w:w="1872"/>
            <w:vAlign w:val="center"/>
            <w:shd w:fill="F5F5F5"/>
            <w:tcMar>
              <w:top w:w="60" w:type="dxa"/>
              <w:bottom w:w="60" w:type="dxa"/>
              <w:left w:w="100" w:type="dxa"/>
              <w:right w:w="100" w:type="dxa"/>
            </w:tcMar>
          </w:tcPr>
          <w:p>
            <w:pPr>
              <w:spacing w:before="40" w:after="40"/>
              <w:jc w:val="center"/>
            </w:pPr>
            <w:r>
              <w:rPr>
                <w:sz w:val="18"/>
              </w:rPr>
              <w:t>-7.73</w:t>
            </w:r>
          </w:p>
        </w:tc>
        <w:tc>
          <w:tcPr>
            <w:tcW w:type="dxa" w:w="1872"/>
            <w:vAlign w:val="center"/>
            <w:shd w:fill="F5F5F5"/>
            <w:tcMar>
              <w:top w:w="60" w:type="dxa"/>
              <w:bottom w:w="60" w:type="dxa"/>
              <w:left w:w="100" w:type="dxa"/>
              <w:right w:w="100" w:type="dxa"/>
            </w:tcMar>
          </w:tcPr>
          <w:p>
            <w:pPr>
              <w:spacing w:before="40" w:after="40"/>
              <w:jc w:val="center"/>
            </w:pPr>
            <w:r>
              <w:rPr>
                <w:sz w:val="18"/>
              </w:rPr>
              <w:t>-2.97</w:t>
            </w:r>
          </w:p>
        </w:tc>
      </w:tr>
      <w:tr>
        <w:tc>
          <w:tcPr>
            <w:tcW w:type="dxa" w:w="1872"/>
            <w:vAlign w:val="center"/>
            <w:shd w:fill="FFFFFF"/>
            <w:tcMar>
              <w:top w:w="60" w:type="dxa"/>
              <w:bottom w:w="60" w:type="dxa"/>
              <w:left w:w="100" w:type="dxa"/>
              <w:right w:w="100" w:type="dxa"/>
            </w:tcMar>
          </w:tcPr>
          <w:p>
            <w:pPr>
              <w:spacing w:before="40" w:after="40"/>
              <w:jc w:val="left"/>
            </w:pPr>
            <w:r>
              <w:rPr>
                <w:b/>
                <w:sz w:val="18"/>
              </w:rPr>
              <w:t>Ribociclib</w:t>
            </w:r>
          </w:p>
        </w:tc>
        <w:tc>
          <w:tcPr>
            <w:tcW w:type="dxa" w:w="1872"/>
            <w:vAlign w:val="center"/>
            <w:shd w:fill="FFFFFF"/>
            <w:tcMar>
              <w:top w:w="60" w:type="dxa"/>
              <w:bottom w:w="60" w:type="dxa"/>
              <w:left w:w="100" w:type="dxa"/>
              <w:right w:w="100" w:type="dxa"/>
            </w:tcMar>
          </w:tcPr>
          <w:p>
            <w:pPr>
              <w:spacing w:before="40" w:after="40"/>
              <w:jc w:val="left"/>
            </w:pPr>
            <w:r>
              <w:rPr>
                <w:sz w:val="18"/>
              </w:rPr>
              <w:t>CDK4/6 Inhibitor</w:t>
            </w:r>
          </w:p>
        </w:tc>
        <w:tc>
          <w:tcPr>
            <w:tcW w:type="dxa" w:w="1872"/>
            <w:vAlign w:val="center"/>
            <w:shd w:fill="FFFFFF"/>
            <w:tcMar>
              <w:top w:w="60" w:type="dxa"/>
              <w:bottom w:w="60" w:type="dxa"/>
              <w:left w:w="100" w:type="dxa"/>
              <w:right w:w="100" w:type="dxa"/>
            </w:tcMar>
          </w:tcPr>
          <w:p>
            <w:pPr>
              <w:spacing w:before="40" w:after="40"/>
              <w:jc w:val="left"/>
            </w:pPr>
            <w:r>
              <w:rPr>
                <w:sz w:val="18"/>
              </w:rPr>
              <w:t>DB09075</w:t>
            </w:r>
          </w:p>
        </w:tc>
        <w:tc>
          <w:tcPr>
            <w:tcW w:type="dxa" w:w="1872"/>
            <w:vAlign w:val="center"/>
            <w:shd w:fill="FFFFFF"/>
            <w:tcMar>
              <w:top w:w="60" w:type="dxa"/>
              <w:bottom w:w="60" w:type="dxa"/>
              <w:left w:w="100" w:type="dxa"/>
              <w:right w:w="100" w:type="dxa"/>
            </w:tcMar>
          </w:tcPr>
          <w:p>
            <w:pPr>
              <w:spacing w:before="40" w:after="40"/>
              <w:jc w:val="center"/>
            </w:pPr>
            <w:r>
              <w:rPr>
                <w:sz w:val="18"/>
              </w:rPr>
              <w:t>-7.71</w:t>
            </w:r>
          </w:p>
        </w:tc>
        <w:tc>
          <w:tcPr>
            <w:tcW w:type="dxa" w:w="1872"/>
            <w:vAlign w:val="center"/>
            <w:shd w:fill="FFFFFF"/>
            <w:tcMar>
              <w:top w:w="60" w:type="dxa"/>
              <w:bottom w:w="60" w:type="dxa"/>
              <w:left w:w="100" w:type="dxa"/>
              <w:right w:w="100" w:type="dxa"/>
            </w:tcMar>
          </w:tcPr>
          <w:p>
            <w:pPr>
              <w:spacing w:before="40" w:after="40"/>
              <w:jc w:val="center"/>
            </w:pPr>
            <w:r>
              <w:rPr>
                <w:sz w:val="18"/>
              </w:rPr>
              <w:t>-0.77</w:t>
            </w:r>
          </w:p>
        </w:tc>
      </w:tr>
      <w:tr>
        <w:tc>
          <w:tcPr>
            <w:tcW w:type="dxa" w:w="1872"/>
            <w:vAlign w:val="center"/>
            <w:shd w:fill="F5F5F5"/>
            <w:tcMar>
              <w:top w:w="60" w:type="dxa"/>
              <w:bottom w:w="60" w:type="dxa"/>
              <w:left w:w="100" w:type="dxa"/>
              <w:right w:w="100" w:type="dxa"/>
            </w:tcMar>
          </w:tcPr>
          <w:p>
            <w:pPr>
              <w:spacing w:before="40" w:after="40"/>
              <w:jc w:val="left"/>
            </w:pPr>
            <w:r>
              <w:rPr>
                <w:b/>
                <w:sz w:val="18"/>
              </w:rPr>
              <w:t>Niraparib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DB12340</w:t>
            </w:r>
          </w:p>
        </w:tc>
        <w:tc>
          <w:tcPr>
            <w:tcW w:type="dxa" w:w="1872"/>
            <w:vAlign w:val="center"/>
            <w:shd w:fill="F5F5F5"/>
            <w:tcMar>
              <w:top w:w="60" w:type="dxa"/>
              <w:bottom w:w="60" w:type="dxa"/>
              <w:left w:w="100" w:type="dxa"/>
              <w:right w:w="100" w:type="dxa"/>
            </w:tcMar>
          </w:tcPr>
          <w:p>
            <w:pPr>
              <w:spacing w:before="40" w:after="40"/>
              <w:jc w:val="center"/>
            </w:pPr>
            <w:r>
              <w:rPr>
                <w:sz w:val="18"/>
              </w:rPr>
              <w:t>-7.66</w:t>
            </w:r>
          </w:p>
        </w:tc>
        <w:tc>
          <w:tcPr>
            <w:tcW w:type="dxa" w:w="1872"/>
            <w:vAlign w:val="center"/>
            <w:shd w:fill="F5F5F5"/>
            <w:tcMar>
              <w:top w:w="60" w:type="dxa"/>
              <w:bottom w:w="60" w:type="dxa"/>
              <w:left w:w="100" w:type="dxa"/>
              <w:right w:w="100" w:type="dxa"/>
            </w:tcMar>
          </w:tcPr>
          <w:p>
            <w:pPr>
              <w:spacing w:before="40" w:after="40"/>
              <w:jc w:val="center"/>
            </w:pPr>
            <w:r>
              <w:rPr>
                <w:sz w:val="18"/>
              </w:rPr>
              <w:t>-1.26</w:t>
            </w:r>
          </w:p>
        </w:tc>
      </w:tr>
      <w:tr>
        <w:tc>
          <w:tcPr>
            <w:tcW w:type="dxa" w:w="1872"/>
            <w:vAlign w:val="center"/>
            <w:shd w:fill="FFFFFF"/>
            <w:tcMar>
              <w:top w:w="60" w:type="dxa"/>
              <w:bottom w:w="60" w:type="dxa"/>
              <w:left w:w="100" w:type="dxa"/>
              <w:right w:w="100" w:type="dxa"/>
            </w:tcMar>
          </w:tcPr>
          <w:p>
            <w:pPr>
              <w:spacing w:before="40" w:after="40"/>
              <w:jc w:val="left"/>
            </w:pPr>
            <w:r>
              <w:rPr>
                <w:b/>
                <w:sz w:val="18"/>
              </w:rPr>
              <w:t>SN-38</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ADC Payload</w:t>
            </w:r>
          </w:p>
        </w:tc>
        <w:tc>
          <w:tcPr>
            <w:tcW w:type="dxa" w:w="1872"/>
            <w:vAlign w:val="center"/>
            <w:shd w:fill="FFFFFF"/>
            <w:tcMar>
              <w:top w:w="60" w:type="dxa"/>
              <w:bottom w:w="60" w:type="dxa"/>
              <w:left w:w="100" w:type="dxa"/>
              <w:right w:w="100" w:type="dxa"/>
            </w:tcMar>
          </w:tcPr>
          <w:p>
            <w:pPr>
              <w:spacing w:before="40" w:after="40"/>
              <w:jc w:val="left"/>
            </w:pPr>
            <w:r>
              <w:rPr>
                <w:sz w:val="18"/>
              </w:rPr>
              <w:t>DB05482</w:t>
            </w:r>
          </w:p>
        </w:tc>
        <w:tc>
          <w:tcPr>
            <w:tcW w:type="dxa" w:w="1872"/>
            <w:vAlign w:val="center"/>
            <w:shd w:fill="FFFFFF"/>
            <w:tcMar>
              <w:top w:w="60" w:type="dxa"/>
              <w:bottom w:w="60" w:type="dxa"/>
              <w:left w:w="100" w:type="dxa"/>
              <w:right w:w="100" w:type="dxa"/>
            </w:tcMar>
          </w:tcPr>
          <w:p>
            <w:pPr>
              <w:spacing w:before="40" w:after="40"/>
              <w:jc w:val="center"/>
            </w:pPr>
            <w:r>
              <w:rPr>
                <w:sz w:val="18"/>
              </w:rPr>
              <w:t>-7.56</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Doxorubicin</w:t>
            </w:r>
          </w:p>
        </w:tc>
        <w:tc>
          <w:tcPr>
            <w:tcW w:type="dxa" w:w="1872"/>
            <w:vAlign w:val="center"/>
            <w:shd w:fill="F5F5F5"/>
            <w:tcMar>
              <w:top w:w="60" w:type="dxa"/>
              <w:bottom w:w="60" w:type="dxa"/>
              <w:left w:w="100" w:type="dxa"/>
              <w:right w:w="100" w:type="dxa"/>
            </w:tcMar>
          </w:tcPr>
          <w:p>
            <w:pPr>
              <w:spacing w:before="40" w:after="40"/>
              <w:jc w:val="left"/>
            </w:pPr>
            <w:r>
              <w:rPr>
                <w:sz w:val="18"/>
              </w:rPr>
              <w:t>Anthracycline</w:t>
            </w:r>
          </w:p>
        </w:tc>
        <w:tc>
          <w:tcPr>
            <w:tcW w:type="dxa" w:w="1872"/>
            <w:vAlign w:val="center"/>
            <w:shd w:fill="F5F5F5"/>
            <w:tcMar>
              <w:top w:w="60" w:type="dxa"/>
              <w:bottom w:w="60" w:type="dxa"/>
              <w:left w:w="100" w:type="dxa"/>
              <w:right w:w="100" w:type="dxa"/>
            </w:tcMar>
          </w:tcPr>
          <w:p>
            <w:pPr>
              <w:spacing w:before="40" w:after="40"/>
              <w:jc w:val="left"/>
            </w:pPr>
            <w:r>
              <w:rPr>
                <w:sz w:val="18"/>
              </w:rPr>
              <w:t>DB00997</w:t>
            </w:r>
          </w:p>
        </w:tc>
        <w:tc>
          <w:tcPr>
            <w:tcW w:type="dxa" w:w="1872"/>
            <w:vAlign w:val="center"/>
            <w:shd w:fill="F5F5F5"/>
            <w:tcMar>
              <w:top w:w="60" w:type="dxa"/>
              <w:bottom w:w="60" w:type="dxa"/>
              <w:left w:w="100" w:type="dxa"/>
              <w:right w:w="100" w:type="dxa"/>
            </w:tcMar>
          </w:tcPr>
          <w:p>
            <w:pPr>
              <w:spacing w:before="40" w:after="40"/>
              <w:jc w:val="center"/>
            </w:pPr>
            <w:r>
              <w:rPr>
                <w:sz w:val="18"/>
              </w:rPr>
              <w:t>-7.34</w:t>
            </w:r>
          </w:p>
        </w:tc>
        <w:tc>
          <w:tcPr>
            <w:tcW w:type="dxa" w:w="1872"/>
            <w:vAlign w:val="center"/>
            <w:shd w:fill="F5F5F5"/>
            <w:tcMar>
              <w:top w:w="60" w:type="dxa"/>
              <w:bottom w:w="60" w:type="dxa"/>
              <w:left w:w="100" w:type="dxa"/>
              <w:right w:w="100" w:type="dxa"/>
            </w:tcMar>
          </w:tcPr>
          <w:p>
            <w:pPr>
              <w:spacing w:before="40" w:after="40"/>
              <w:jc w:val="center"/>
            </w:pPr>
            <w:r>
              <w:rPr>
                <w:sz w:val="18"/>
              </w:rPr>
              <w:t>-3.02</w:t>
            </w:r>
          </w:p>
        </w:tc>
      </w:tr>
      <w:tr>
        <w:tc>
          <w:tcPr>
            <w:tcW w:type="dxa" w:w="1872"/>
            <w:vAlign w:val="center"/>
            <w:shd w:fill="FFFFFF"/>
            <w:tcMar>
              <w:top w:w="60" w:type="dxa"/>
              <w:bottom w:w="60" w:type="dxa"/>
              <w:left w:w="100" w:type="dxa"/>
              <w:right w:w="100" w:type="dxa"/>
            </w:tcMar>
          </w:tcPr>
          <w:p>
            <w:pPr>
              <w:spacing w:before="40" w:after="40"/>
              <w:jc w:val="left"/>
            </w:pPr>
            <w:r>
              <w:rPr>
                <w:b/>
                <w:sz w:val="18"/>
              </w:rPr>
              <w:t>Epirubicin</w:t>
            </w:r>
          </w:p>
        </w:tc>
        <w:tc>
          <w:tcPr>
            <w:tcW w:type="dxa" w:w="1872"/>
            <w:vAlign w:val="center"/>
            <w:shd w:fill="FFFFFF"/>
            <w:tcMar>
              <w:top w:w="60" w:type="dxa"/>
              <w:bottom w:w="60" w:type="dxa"/>
              <w:left w:w="100" w:type="dxa"/>
              <w:right w:w="100" w:type="dxa"/>
            </w:tcMar>
          </w:tcPr>
          <w:p>
            <w:pPr>
              <w:spacing w:before="40" w:after="40"/>
              <w:jc w:val="left"/>
            </w:pPr>
            <w:r>
              <w:rPr>
                <w:sz w:val="18"/>
              </w:rPr>
              <w:t>Anthracycline</w:t>
            </w:r>
          </w:p>
        </w:tc>
        <w:tc>
          <w:tcPr>
            <w:tcW w:type="dxa" w:w="1872"/>
            <w:vAlign w:val="center"/>
            <w:shd w:fill="FFFFFF"/>
            <w:tcMar>
              <w:top w:w="60" w:type="dxa"/>
              <w:bottom w:w="60" w:type="dxa"/>
              <w:left w:w="100" w:type="dxa"/>
              <w:right w:w="100" w:type="dxa"/>
            </w:tcMar>
          </w:tcPr>
          <w:p>
            <w:pPr>
              <w:spacing w:before="40" w:after="40"/>
              <w:jc w:val="left"/>
            </w:pPr>
            <w:r>
              <w:rPr>
                <w:sz w:val="18"/>
              </w:rPr>
              <w:t>DB00445</w:t>
            </w:r>
          </w:p>
        </w:tc>
        <w:tc>
          <w:tcPr>
            <w:tcW w:type="dxa" w:w="1872"/>
            <w:vAlign w:val="center"/>
            <w:shd w:fill="FFFFFF"/>
            <w:tcMar>
              <w:top w:w="60" w:type="dxa"/>
              <w:bottom w:w="60" w:type="dxa"/>
              <w:left w:w="100" w:type="dxa"/>
              <w:right w:w="100" w:type="dxa"/>
            </w:tcMar>
          </w:tcPr>
          <w:p>
            <w:pPr>
              <w:spacing w:before="40" w:after="40"/>
              <w:jc w:val="center"/>
            </w:pPr>
            <w:r>
              <w:rPr>
                <w:sz w:val="18"/>
              </w:rPr>
              <w:t>-7.12</w:t>
            </w:r>
          </w:p>
        </w:tc>
        <w:tc>
          <w:tcPr>
            <w:tcW w:type="dxa" w:w="1872"/>
            <w:vAlign w:val="center"/>
            <w:shd w:fill="FFFFFF"/>
            <w:tcMar>
              <w:top w:w="60" w:type="dxa"/>
              <w:bottom w:w="60" w:type="dxa"/>
              <w:left w:w="100" w:type="dxa"/>
              <w:right w:w="100" w:type="dxa"/>
            </w:tcMar>
          </w:tcPr>
          <w:p>
            <w:pPr>
              <w:spacing w:before="40" w:after="40"/>
              <w:jc w:val="center"/>
            </w:pPr>
            <w:r>
              <w:rPr>
                <w:sz w:val="18"/>
              </w:rPr>
              <w:t>-3.17</w:t>
            </w:r>
          </w:p>
        </w:tc>
      </w:tr>
      <w:tr>
        <w:tc>
          <w:tcPr>
            <w:tcW w:type="dxa" w:w="1872"/>
            <w:vAlign w:val="center"/>
            <w:shd w:fill="F5F5F5"/>
            <w:tcMar>
              <w:top w:w="60" w:type="dxa"/>
              <w:bottom w:w="60" w:type="dxa"/>
              <w:left w:w="100" w:type="dxa"/>
              <w:right w:w="100" w:type="dxa"/>
            </w:tcMar>
          </w:tcPr>
          <w:p>
            <w:pPr>
              <w:spacing w:before="40" w:after="40"/>
              <w:jc w:val="left"/>
            </w:pPr>
            <w:r>
              <w:rPr>
                <w:b/>
                <w:sz w:val="18"/>
              </w:rPr>
              <w:t>Gefitinib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DB00317</w:t>
            </w:r>
          </w:p>
        </w:tc>
        <w:tc>
          <w:tcPr>
            <w:tcW w:type="dxa" w:w="1872"/>
            <w:vAlign w:val="center"/>
            <w:shd w:fill="F5F5F5"/>
            <w:tcMar>
              <w:top w:w="60" w:type="dxa"/>
              <w:bottom w:w="60" w:type="dxa"/>
              <w:left w:w="100" w:type="dxa"/>
              <w:right w:w="100" w:type="dxa"/>
            </w:tcMar>
          </w:tcPr>
          <w:p>
            <w:pPr>
              <w:spacing w:before="40" w:after="40"/>
              <w:jc w:val="center"/>
            </w:pPr>
            <w:r>
              <w:rPr>
                <w:sz w:val="18"/>
              </w:rPr>
              <w:t>-6.78</w:t>
            </w:r>
          </w:p>
        </w:tc>
        <w:tc>
          <w:tcPr>
            <w:tcW w:type="dxa" w:w="1872"/>
            <w:vAlign w:val="center"/>
            <w:shd w:fill="F5F5F5"/>
            <w:tcMar>
              <w:top w:w="60" w:type="dxa"/>
              <w:bottom w:w="60" w:type="dxa"/>
              <w:left w:w="100" w:type="dxa"/>
              <w:right w:w="100" w:type="dxa"/>
            </w:tcMar>
          </w:tcPr>
          <w:p>
            <w:pPr>
              <w:spacing w:before="40" w:after="40"/>
              <w:jc w:val="center"/>
            </w:pPr>
            <w:r>
              <w:rPr>
                <w:sz w:val="18"/>
              </w:rPr>
              <w:t>-3.35</w:t>
            </w:r>
          </w:p>
        </w:tc>
      </w:tr>
      <w:tr>
        <w:tc>
          <w:tcPr>
            <w:tcW w:type="dxa" w:w="1872"/>
            <w:vAlign w:val="center"/>
            <w:shd w:fill="FFFFFF"/>
            <w:tcMar>
              <w:top w:w="60" w:type="dxa"/>
              <w:bottom w:w="60" w:type="dxa"/>
              <w:left w:w="100" w:type="dxa"/>
              <w:right w:w="100" w:type="dxa"/>
            </w:tcMar>
          </w:tcPr>
          <w:p>
            <w:pPr>
              <w:spacing w:before="40" w:after="40"/>
              <w:jc w:val="left"/>
            </w:pPr>
            <w:r>
              <w:rPr>
                <w:b/>
                <w:sz w:val="18"/>
              </w:rPr>
              <w:t>Veliparib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DB11692</w:t>
            </w:r>
          </w:p>
        </w:tc>
        <w:tc>
          <w:tcPr>
            <w:tcW w:type="dxa" w:w="1872"/>
            <w:vAlign w:val="center"/>
            <w:shd w:fill="FFFFFF"/>
            <w:tcMar>
              <w:top w:w="60" w:type="dxa"/>
              <w:bottom w:w="60" w:type="dxa"/>
              <w:left w:w="100" w:type="dxa"/>
              <w:right w:w="100" w:type="dxa"/>
            </w:tcMar>
          </w:tcPr>
          <w:p>
            <w:pPr>
              <w:spacing w:before="40" w:after="40"/>
              <w:jc w:val="center"/>
            </w:pPr>
            <w:r>
              <w:rPr>
                <w:sz w:val="18"/>
              </w:rPr>
              <w:t>-6.34</w:t>
            </w:r>
          </w:p>
        </w:tc>
        <w:tc>
          <w:tcPr>
            <w:tcW w:type="dxa" w:w="1872"/>
            <w:vAlign w:val="center"/>
            <w:shd w:fill="FFFFFF"/>
            <w:tcMar>
              <w:top w:w="60" w:type="dxa"/>
              <w:bottom w:w="60" w:type="dxa"/>
              <w:left w:w="100" w:type="dxa"/>
              <w:right w:w="100" w:type="dxa"/>
            </w:tcMar>
          </w:tcPr>
          <w:p>
            <w:pPr>
              <w:spacing w:before="40" w:after="40"/>
              <w:jc w:val="center"/>
            </w:pPr>
            <w:r>
              <w:rPr>
                <w:sz w:val="18"/>
              </w:rPr>
              <w:t>-0.61</w:t>
            </w:r>
          </w:p>
        </w:tc>
      </w:tr>
      <w:tr>
        <w:tc>
          <w:tcPr>
            <w:tcW w:type="dxa" w:w="1872"/>
            <w:vAlign w:val="center"/>
            <w:shd w:fill="F5F5F5"/>
            <w:tcMar>
              <w:top w:w="60" w:type="dxa"/>
              <w:bottom w:w="60" w:type="dxa"/>
              <w:left w:w="100" w:type="dxa"/>
              <w:right w:w="100" w:type="dxa"/>
            </w:tcMar>
          </w:tcPr>
          <w:p>
            <w:pPr>
              <w:spacing w:before="40" w:after="40"/>
              <w:jc w:val="left"/>
            </w:pPr>
            <w:r>
              <w:rPr>
                <w:b/>
                <w:sz w:val="18"/>
              </w:rPr>
              <w:t>Erlotinib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DB00530</w:t>
            </w:r>
          </w:p>
        </w:tc>
        <w:tc>
          <w:tcPr>
            <w:tcW w:type="dxa" w:w="1872"/>
            <w:vAlign w:val="center"/>
            <w:shd w:fill="F5F5F5"/>
            <w:tcMar>
              <w:top w:w="60" w:type="dxa"/>
              <w:bottom w:w="60" w:type="dxa"/>
              <w:left w:w="100" w:type="dxa"/>
              <w:right w:w="100" w:type="dxa"/>
            </w:tcMar>
          </w:tcPr>
          <w:p>
            <w:pPr>
              <w:spacing w:before="40" w:after="40"/>
              <w:jc w:val="center"/>
            </w:pPr>
            <w:r>
              <w:rPr>
                <w:sz w:val="18"/>
              </w:rPr>
              <w:t>-6.34</w:t>
            </w:r>
          </w:p>
        </w:tc>
        <w:tc>
          <w:tcPr>
            <w:tcW w:type="dxa" w:w="1872"/>
            <w:vAlign w:val="center"/>
            <w:shd w:fill="F5F5F5"/>
            <w:tcMar>
              <w:top w:w="60" w:type="dxa"/>
              <w:bottom w:w="60" w:type="dxa"/>
              <w:left w:w="100" w:type="dxa"/>
              <w:right w:w="100" w:type="dxa"/>
            </w:tcMar>
          </w:tcPr>
          <w:p>
            <w:pPr>
              <w:spacing w:before="40" w:after="40"/>
              <w:jc w:val="center"/>
            </w:pPr>
            <w:r>
              <w:rPr>
                <w:sz w:val="18"/>
              </w:rPr>
              <w:t>-3.79</w:t>
            </w:r>
          </w:p>
        </w:tc>
      </w:tr>
      <w:tr>
        <w:tc>
          <w:tcPr>
            <w:tcW w:type="dxa" w:w="1872"/>
            <w:vAlign w:val="center"/>
            <w:shd w:fill="FFFFFF"/>
            <w:tcMar>
              <w:top w:w="60" w:type="dxa"/>
              <w:bottom w:w="60" w:type="dxa"/>
              <w:left w:w="100" w:type="dxa"/>
              <w:right w:w="100" w:type="dxa"/>
            </w:tcMar>
          </w:tcPr>
          <w:p>
            <w:pPr>
              <w:spacing w:before="40" w:after="40"/>
              <w:jc w:val="left"/>
            </w:pPr>
            <w:r>
              <w:rPr>
                <w:b/>
                <w:sz w:val="18"/>
              </w:rPr>
              <w:t>Rucaparib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DB12331</w:t>
            </w:r>
          </w:p>
        </w:tc>
        <w:tc>
          <w:tcPr>
            <w:tcW w:type="dxa" w:w="1872"/>
            <w:vAlign w:val="center"/>
            <w:shd w:fill="FFFFFF"/>
            <w:tcMar>
              <w:top w:w="60" w:type="dxa"/>
              <w:bottom w:w="60" w:type="dxa"/>
              <w:left w:w="100" w:type="dxa"/>
              <w:right w:w="100" w:type="dxa"/>
            </w:tcMar>
          </w:tcPr>
          <w:p>
            <w:pPr>
              <w:spacing w:before="40" w:after="40"/>
              <w:jc w:val="center"/>
            </w:pPr>
            <w:r>
              <w:rPr>
                <w:sz w:val="18"/>
              </w:rPr>
              <w:t>-6.16</w:t>
            </w:r>
          </w:p>
        </w:tc>
        <w:tc>
          <w:tcPr>
            <w:tcW w:type="dxa" w:w="1872"/>
            <w:vAlign w:val="center"/>
            <w:shd w:fill="FFFFFF"/>
            <w:tcMar>
              <w:top w:w="60" w:type="dxa"/>
              <w:bottom w:w="60" w:type="dxa"/>
              <w:left w:w="100" w:type="dxa"/>
              <w:right w:w="100" w:type="dxa"/>
            </w:tcMar>
          </w:tcPr>
          <w:p>
            <w:pPr>
              <w:spacing w:before="40" w:after="40"/>
              <w:jc w:val="center"/>
            </w:pPr>
            <w:r>
              <w:rPr>
                <w:sz w:val="18"/>
              </w:rPr>
              <w:t>-1.07</w:t>
            </w:r>
          </w:p>
        </w:tc>
      </w:tr>
    </w:tbl>
    <w:p>
      <w:pPr>
        <w:spacing w:after="240"/>
      </w:pPr>
    </w:p>
    <w:p>
      <w:pPr>
        <w:jc w:val="center"/>
      </w:pPr>
    </w:p>
    <w:p>
      <w:r>
        <w:drawing>
          <wp:inline xmlns:a="http://schemas.openxmlformats.org/drawingml/2006/main" xmlns:pic="http://schemas.openxmlformats.org/drawingml/2006/picture">
            <wp:extent cx="5669280" cy="2343725"/>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43725"/>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35 poses are Glu688, Arg865, Thr866, Lys684, Thr867, Ser681, His909 and Ser911 (contact distance &lt;= 3.8 A).</w:t>
      </w:r>
    </w:p>
    <w:p>
      <w:pPr>
        <w:pStyle w:val="Heading2"/>
        <w:keepNext/>
        <w:spacing w:before="280" w:after="120"/>
      </w:pPr>
      <w:r>
        <w:rPr>
          <w:rFonts w:ascii="Arial" w:hAnsi="Arial"/>
          <w:b/>
          <w:color w:val="1565C0"/>
          <w:sz w:val="24"/>
        </w:rPr>
        <w:t>3.3 3D Quantum Geometries and Intermolecular Interactions</w:t>
      </w:r>
    </w:p>
    <w:p>
      <w:r>
        <w:t>Figure 5 is a schematic 3D rendering illustrating the proposed binding motifs for the nanocarrier complexes, not a rendering of a GFN2-xTB optimized geometry (the underlying cage and ligand coordinates are illustrative). Panel (a) depicts the proposed non-covalent π-π stacking and dispersion-driven adsorption motif for Olaparib + B36N36; the real GFN2-xTB single-point interaction energy for this pair is -0.38 kcal/mol (Table 1), with a real relaxed-geometry value of -13.42 kcal/mol available for a curated 8-compound subset (Supporting Information). Panel (b) depicts a proposed carboxyl O-H...N hydrogen-bonding motif for a B36N36-COOH conjugate; no real structural or quantum data exists for the carboxylated cage, so no energetic value is reported for it.</w:t>
      </w:r>
    </w:p>
    <w:p>
      <w:pPr>
        <w:jc w:val="center"/>
      </w:pPr>
    </w:p>
    <w:p>
      <w:r>
        <w:drawing>
          <wp:inline xmlns:a="http://schemas.openxmlformats.org/drawingml/2006/main" xmlns:pic="http://schemas.openxmlformats.org/drawingml/2006/picture">
            <wp:extent cx="5669280" cy="2677160"/>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2677160"/>
                    </a:xfrm>
                    <a:prstGeom prst="rect"/>
                  </pic:spPr>
                </pic:pic>
              </a:graphicData>
            </a:graphic>
          </wp:inline>
        </w:drawing>
      </w:r>
    </w:p>
    <w:p>
      <w:pPr>
        <w:spacing w:after="280"/>
      </w:pPr>
      <w:r>
        <w:rPr>
          <w:rFonts w:ascii="Arial" w:hAnsi="Arial"/>
          <w:b/>
        </w:rPr>
        <w:t xml:space="preserve">Figure 5. </w:t>
      </w:r>
      <w:r>
        <w:t>Schematic 3D representations of the proposed binding motifs (illustrative coordinates, not GFN2-xTB optimized geometries): (a) Olaparib + B36N36 pristine nanocage, proposed π-π stacking motif (real GFN2-xTB single-point ΔE_int = -0.38 kcal/mol; real relaxed-geometry value -13.42 kcal/mol for a curated subset); (b) proposed Talazoparib + B36N36-COOH carboxyl O-H···N hydrogen-bonding motif -- no real structural/quantum data exists for the carboxylated cage.</w:t>
      </w:r>
    </w:p>
    <w:p>
      <w:pPr>
        <w:pStyle w:val="Heading2"/>
        <w:keepNext/>
        <w:spacing w:before="280" w:after="120"/>
      </w:pPr>
      <w:r>
        <w:rPr>
          <w:rFonts w:ascii="Arial" w:hAnsi="Arial"/>
          <w:b/>
          <w:color w:val="1565C0"/>
          <w:sz w:val="24"/>
        </w:rPr>
        <w:t>3.4 Statistical Docking Distributions and Residue Interactions</w:t>
      </w:r>
    </w:p>
    <w:p>
      <w:r>
        <w:t>Residue contact analysis across the 35 docked therapeutics (Figure 4) identifies Glu688, Arg865, Thr866, Lys684, Thr867 and Ser681 as the most frequently engaged residues within 3.8 Å. The isolated-drug Vina score and the real GFN2-xTB B36N36 interaction energy are only weakly (and negatively) correlated across the 20-compound overlap (Pearson r = -0.21), i.e. strong target binders are not systematically the strongest-adsorbing on the cage (Figure 6).</w:t>
      </w:r>
    </w:p>
    <w:p>
      <w:pPr>
        <w:jc w:val="center"/>
      </w:pPr>
    </w:p>
    <w:p>
      <w:r>
        <w:drawing>
          <wp:inline xmlns:a="http://schemas.openxmlformats.org/drawingml/2006/main" xmlns:pic="http://schemas.openxmlformats.org/drawingml/2006/picture">
            <wp:extent cx="5486400" cy="2066889"/>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66889"/>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35 docked therapeutics.</w:t>
      </w:r>
    </w:p>
    <w:p>
      <w:pPr>
        <w:jc w:val="center"/>
      </w:pPr>
    </w:p>
    <w:p>
      <w:r>
        <w:drawing>
          <wp:inline xmlns:a="http://schemas.openxmlformats.org/drawingml/2006/main" xmlns:pic="http://schemas.openxmlformats.org/drawingml/2006/picture">
            <wp:extent cx="5486400" cy="1819879"/>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819879"/>
                    </a:xfrm>
                    <a:prstGeom prst="rect"/>
                  </pic:spPr>
                </pic:pic>
              </a:graphicData>
            </a:graphic>
          </wp:inline>
        </w:drawing>
      </w:r>
    </w:p>
    <w:p>
      <w:pPr>
        <w:spacing w:after="240"/>
      </w:pPr>
      <w:r>
        <w:rPr>
          <w:rFonts w:ascii="Arial" w:hAnsi="Arial"/>
          <w:b/>
        </w:rPr>
        <w:t xml:space="preserve">Figure 6. </w:t>
      </w:r>
      <w:r>
        <w:t>Docking profiles: (a) distribution of AutoDock Vina scores on PARP1; (b) top-ranked therapeutics by score; (c) isolated-drug Vina score vs. real GFN2-xTB pristine-B36N36 interaction energy across the 20-compound overlap (weak negative correlation).</w:t>
      </w:r>
    </w:p>
    <w:p>
      <w:pPr>
        <w:pStyle w:val="Heading2"/>
        <w:keepNext/>
        <w:spacing w:before="280" w:after="120"/>
      </w:pPr>
      <w:r>
        <w:rPr>
          <w:rFonts w:ascii="Arial" w:hAnsi="Arial"/>
          <w:b/>
          <w:color w:val="1565C0"/>
          <w:sz w:val="24"/>
        </w:rPr>
        <w:t>3.5 Machine Learning Benchmarking and Explainable AI (SHAP)</w:t>
      </w:r>
    </w:p>
    <w:p>
      <w:r>
        <w:t>Table 2 summarizes the performance of the RidgeCV surrogate (four pre-specified descriptors; n = 35 isolated, n = 33 pristine B36N36) evaluated by leak-free nested 5x5 cross-validation (StandardScaler fit inside the modelling pipeline on outer-training folds only; alpha selected by inner RidgeCV) on the real observed docking/adsorption data, reported as out-of-fold predictions rather than a single held-out 20% split. Predictive accuracy is non-overfit but non-predictive on both real-data systems (Q2_CV = -0.036 isolated, -0.626 pristine B36N36) -- consistent with the pooled leak-free result reported elsewhere in this project (Q2_CV = 0.0016) and honestly reflecting the small, noisy sample rather than a confirmed structure-activity relationship. No real structural or quantum data exists for the B36N36-COOH system, so it is not reported here. Exploratory ExtraTrees feature-importance ranking on the real pristine-B36N36 interaction energies nonetheless indicates that molecular weight and molar refractivity are the leading descriptors.</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50" w:type="dxa"/>
              <w:bottom w:w="50" w:type="dxa"/>
              <w:left w:w="80" w:type="dxa"/>
              <w:right w:w="80" w:type="dxa"/>
            </w:tcMar>
          </w:tcPr>
          <w:p>
            <w:pPr>
              <w:spacing w:before="40" w:after="40"/>
              <w:jc w:val="left"/>
            </w:pPr>
            <w:r>
              <w:rPr>
                <w:b/>
                <w:color w:val="FFFFFF"/>
                <w:sz w:val="19"/>
              </w:rPr>
              <w:t>System</w:t>
            </w:r>
          </w:p>
        </w:tc>
        <w:tc>
          <w:tcPr>
            <w:tcW w:type="dxa" w:w="1337"/>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RMSE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337"/>
            <w:vAlign w:val="center"/>
            <w:shd w:fill="F5F5F5"/>
            <w:tcMar>
              <w:top w:w="50" w:type="dxa"/>
              <w:bottom w:w="50" w:type="dxa"/>
              <w:left w:w="80" w:type="dxa"/>
              <w:right w:w="80" w:type="dxa"/>
            </w:tcMar>
          </w:tcPr>
          <w:p>
            <w:pPr>
              <w:spacing w:before="40" w:after="40"/>
              <w:jc w:val="left"/>
            </w:pPr>
            <w:r>
              <w:rPr>
                <w:sz w:val="18"/>
              </w:rPr>
              <w:t>Isolated Drugs (real Vina)</w:t>
            </w:r>
          </w:p>
        </w:tc>
        <w:tc>
          <w:tcPr>
            <w:tcW w:type="dxa" w:w="1337"/>
            <w:vAlign w:val="center"/>
            <w:shd w:fill="F5F5F5"/>
            <w:tcMar>
              <w:top w:w="50" w:type="dxa"/>
              <w:bottom w:w="50" w:type="dxa"/>
              <w:left w:w="80" w:type="dxa"/>
              <w:right w:w="80" w:type="dxa"/>
            </w:tcMar>
          </w:tcPr>
          <w:p>
            <w:pPr>
              <w:spacing w:before="40" w:after="40"/>
              <w:jc w:val="left"/>
            </w:pPr>
            <w:r>
              <w:rPr>
                <w:sz w:val="18"/>
              </w:rPr>
              <w:t>Ridge (nested 5x5 CV)</w:t>
            </w:r>
          </w:p>
        </w:tc>
        <w:tc>
          <w:tcPr>
            <w:tcW w:type="dxa" w:w="1337"/>
            <w:vAlign w:val="center"/>
            <w:shd w:fill="F5F5F5"/>
            <w:tcMar>
              <w:top w:w="50" w:type="dxa"/>
              <w:bottom w:w="50" w:type="dxa"/>
              <w:left w:w="80" w:type="dxa"/>
              <w:right w:w="80" w:type="dxa"/>
            </w:tcMar>
          </w:tcPr>
          <w:p>
            <w:pPr>
              <w:spacing w:before="40" w:after="40"/>
              <w:jc w:val="center"/>
            </w:pPr>
            <w:r>
              <w:rPr>
                <w:sz w:val="18"/>
              </w:rPr>
              <w:t>35</w:t>
            </w:r>
          </w:p>
        </w:tc>
        <w:tc>
          <w:tcPr>
            <w:tcW w:type="dxa" w:w="1337"/>
            <w:vAlign w:val="center"/>
            <w:shd w:fill="F5F5F5"/>
            <w:tcMar>
              <w:top w:w="50" w:type="dxa"/>
              <w:bottom w:w="50" w:type="dxa"/>
              <w:left w:w="80" w:type="dxa"/>
              <w:right w:w="80" w:type="dxa"/>
            </w:tcMar>
          </w:tcPr>
          <w:p>
            <w:pPr>
              <w:spacing w:before="40" w:after="40"/>
              <w:jc w:val="center"/>
            </w:pPr>
            <w:r>
              <w:rPr>
                <w:sz w:val="18"/>
              </w:rPr>
              <w:t>4</w:t>
            </w:r>
          </w:p>
        </w:tc>
        <w:tc>
          <w:tcPr>
            <w:tcW w:type="dxa" w:w="1337"/>
            <w:vAlign w:val="center"/>
            <w:shd w:fill="F5F5F5"/>
            <w:tcMar>
              <w:top w:w="50" w:type="dxa"/>
              <w:bottom w:w="50" w:type="dxa"/>
              <w:left w:w="80" w:type="dxa"/>
              <w:right w:w="80" w:type="dxa"/>
            </w:tcMar>
          </w:tcPr>
          <w:p>
            <w:pPr>
              <w:spacing w:before="40" w:after="40"/>
              <w:jc w:val="center"/>
            </w:pPr>
            <w:r>
              <w:rPr>
                <w:sz w:val="18"/>
              </w:rPr>
              <w:t>1.013</w:t>
            </w:r>
          </w:p>
        </w:tc>
        <w:tc>
          <w:tcPr>
            <w:tcW w:type="dxa" w:w="1337"/>
            <w:vAlign w:val="center"/>
            <w:shd w:fill="F5F5F5"/>
            <w:tcMar>
              <w:top w:w="50" w:type="dxa"/>
              <w:bottom w:w="50" w:type="dxa"/>
              <w:left w:w="80" w:type="dxa"/>
              <w:right w:w="80" w:type="dxa"/>
            </w:tcMar>
          </w:tcPr>
          <w:p>
            <w:pPr>
              <w:spacing w:before="40" w:after="40"/>
              <w:jc w:val="center"/>
            </w:pPr>
            <w:r>
              <w:rPr>
                <w:sz w:val="18"/>
              </w:rPr>
              <w:t>1.405</w:t>
            </w:r>
          </w:p>
        </w:tc>
        <w:tc>
          <w:tcPr>
            <w:tcW w:type="dxa" w:w="1337"/>
            <w:vAlign w:val="center"/>
            <w:shd w:fill="F5F5F5"/>
            <w:tcMar>
              <w:top w:w="50" w:type="dxa"/>
              <w:bottom w:w="50" w:type="dxa"/>
              <w:left w:w="80" w:type="dxa"/>
              <w:right w:w="80" w:type="dxa"/>
            </w:tcMar>
          </w:tcPr>
          <w:p>
            <w:pPr>
              <w:spacing w:before="40" w:after="40"/>
              <w:jc w:val="center"/>
            </w:pPr>
            <w:r>
              <w:rPr>
                <w:sz w:val="18"/>
              </w:rPr>
              <w:t>-0.036</w:t>
            </w:r>
          </w:p>
        </w:tc>
      </w:tr>
      <w:tr>
        <w:tc>
          <w:tcPr>
            <w:tcW w:type="dxa" w:w="1337"/>
            <w:vAlign w:val="center"/>
            <w:shd w:fill="FFFFFF"/>
            <w:tcMar>
              <w:top w:w="50" w:type="dxa"/>
              <w:bottom w:w="50" w:type="dxa"/>
              <w:left w:w="80" w:type="dxa"/>
              <w:right w:w="80" w:type="dxa"/>
            </w:tcMar>
          </w:tcPr>
          <w:p>
            <w:pPr>
              <w:spacing w:before="40" w:after="40"/>
              <w:jc w:val="left"/>
            </w:pPr>
            <w:r>
              <w:rPr>
                <w:sz w:val="18"/>
              </w:rPr>
              <w:t>Drug + B36N36 Pristine (real xTB)</w:t>
            </w:r>
          </w:p>
        </w:tc>
        <w:tc>
          <w:tcPr>
            <w:tcW w:type="dxa" w:w="1337"/>
            <w:vAlign w:val="center"/>
            <w:shd w:fill="FFFFFF"/>
            <w:tcMar>
              <w:top w:w="50" w:type="dxa"/>
              <w:bottom w:w="50" w:type="dxa"/>
              <w:left w:w="80" w:type="dxa"/>
              <w:right w:w="80" w:type="dxa"/>
            </w:tcMar>
          </w:tcPr>
          <w:p>
            <w:pPr>
              <w:spacing w:before="40" w:after="40"/>
              <w:jc w:val="left"/>
            </w:pPr>
            <w:r>
              <w:rPr>
                <w:sz w:val="18"/>
              </w:rPr>
              <w:t>Ridge (nested 5x5 CV)</w:t>
            </w:r>
          </w:p>
        </w:tc>
        <w:tc>
          <w:tcPr>
            <w:tcW w:type="dxa" w:w="1337"/>
            <w:vAlign w:val="center"/>
            <w:shd w:fill="FFFFFF"/>
            <w:tcMar>
              <w:top w:w="50" w:type="dxa"/>
              <w:bottom w:w="50" w:type="dxa"/>
              <w:left w:w="80" w:type="dxa"/>
              <w:right w:w="80" w:type="dxa"/>
            </w:tcMar>
          </w:tcPr>
          <w:p>
            <w:pPr>
              <w:spacing w:before="40" w:after="40"/>
              <w:jc w:val="center"/>
            </w:pPr>
            <w:r>
              <w:rPr>
                <w:sz w:val="18"/>
              </w:rPr>
              <w:t>33</w:t>
            </w:r>
          </w:p>
        </w:tc>
        <w:tc>
          <w:tcPr>
            <w:tcW w:type="dxa" w:w="1337"/>
            <w:vAlign w:val="center"/>
            <w:shd w:fill="FFFFFF"/>
            <w:tcMar>
              <w:top w:w="50" w:type="dxa"/>
              <w:bottom w:w="50" w:type="dxa"/>
              <w:left w:w="80" w:type="dxa"/>
              <w:right w:w="80" w:type="dxa"/>
            </w:tcMar>
          </w:tcPr>
          <w:p>
            <w:pPr>
              <w:spacing w:before="40" w:after="40"/>
              <w:jc w:val="center"/>
            </w:pPr>
            <w:r>
              <w:rPr>
                <w:sz w:val="18"/>
              </w:rPr>
              <w:t>4</w:t>
            </w:r>
          </w:p>
        </w:tc>
        <w:tc>
          <w:tcPr>
            <w:tcW w:type="dxa" w:w="1337"/>
            <w:vAlign w:val="center"/>
            <w:shd w:fill="FFFFFF"/>
            <w:tcMar>
              <w:top w:w="50" w:type="dxa"/>
              <w:bottom w:w="50" w:type="dxa"/>
              <w:left w:w="80" w:type="dxa"/>
              <w:right w:w="80" w:type="dxa"/>
            </w:tcMar>
          </w:tcPr>
          <w:p>
            <w:pPr>
              <w:spacing w:before="40" w:after="40"/>
              <w:jc w:val="center"/>
            </w:pPr>
            <w:r>
              <w:rPr>
                <w:sz w:val="18"/>
              </w:rPr>
              <w:t>2.854</w:t>
            </w:r>
          </w:p>
        </w:tc>
        <w:tc>
          <w:tcPr>
            <w:tcW w:type="dxa" w:w="1337"/>
            <w:vAlign w:val="center"/>
            <w:shd w:fill="FFFFFF"/>
            <w:tcMar>
              <w:top w:w="50" w:type="dxa"/>
              <w:bottom w:w="50" w:type="dxa"/>
              <w:left w:w="80" w:type="dxa"/>
              <w:right w:w="80" w:type="dxa"/>
            </w:tcMar>
          </w:tcPr>
          <w:p>
            <w:pPr>
              <w:spacing w:before="40" w:after="40"/>
              <w:jc w:val="center"/>
            </w:pPr>
            <w:r>
              <w:rPr>
                <w:sz w:val="18"/>
              </w:rPr>
              <w:t>5.745</w:t>
            </w:r>
          </w:p>
        </w:tc>
        <w:tc>
          <w:tcPr>
            <w:tcW w:type="dxa" w:w="1337"/>
            <w:vAlign w:val="center"/>
            <w:shd w:fill="FFFFFF"/>
            <w:tcMar>
              <w:top w:w="50" w:type="dxa"/>
              <w:bottom w:w="50" w:type="dxa"/>
              <w:left w:w="80" w:type="dxa"/>
              <w:right w:w="80" w:type="dxa"/>
            </w:tcMar>
          </w:tcPr>
          <w:p>
            <w:pPr>
              <w:spacing w:before="40" w:after="40"/>
              <w:jc w:val="center"/>
            </w:pPr>
            <w:r>
              <w:rPr>
                <w:sz w:val="18"/>
              </w:rPr>
              <w:t>-0.626</w:t>
            </w:r>
          </w:p>
        </w:tc>
      </w:tr>
    </w:tbl>
    <w:p>
      <w:pPr>
        <w:spacing w:after="240"/>
      </w:pPr>
    </w:p>
    <w:p>
      <w:pPr>
        <w:jc w:val="center"/>
      </w:pPr>
    </w:p>
    <w:p>
      <w:r>
        <w:drawing>
          <wp:inline xmlns:a="http://schemas.openxmlformats.org/drawingml/2006/main" xmlns:pic="http://schemas.openxmlformats.org/drawingml/2006/picture">
            <wp:extent cx="5486400" cy="2382253"/>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82253"/>
                    </a:xfrm>
                    <a:prstGeom prst="rect"/>
                  </pic:spPr>
                </pic:pic>
              </a:graphicData>
            </a:graphic>
          </wp:inline>
        </w:drawing>
      </w:r>
    </w:p>
    <w:p>
      <w:pPr>
        <w:spacing w:after="240"/>
      </w:pPr>
      <w:r>
        <w:rPr>
          <w:rFonts w:ascii="Arial" w:hAnsi="Arial"/>
          <w:b/>
        </w:rPr>
        <w:t xml:space="preserve">Figure 8. </w:t>
      </w:r>
      <w:r>
        <w:t>OECD Principle 3 Williams plots for the two real-data systems (isolated drugs; drug + pristine B36N36): out-of-fold standardized residuals vs. hat leverage with +/-3sigma boundaries. 33/35 and 31/33 compounds fall inside the applicability domain, respectively.</w:t>
      </w:r>
    </w:p>
    <w:p>
      <w:pPr>
        <w:jc w:val="center"/>
      </w:pPr>
    </w:p>
    <w:p>
      <w:r>
        <w:drawing>
          <wp:inline xmlns:a="http://schemas.openxmlformats.org/drawingml/2006/main" xmlns:pic="http://schemas.openxmlformats.org/drawingml/2006/picture">
            <wp:extent cx="5486400" cy="2478195"/>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78195"/>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Isolated drugs (real Vina) and (b) Drug + B36N36 Pristine (real GFN2-xTB). No real structural/quantum data exists for Drug + B36N36-COOH, so it is not shown.</w:t>
      </w:r>
    </w:p>
    <w:p>
      <w:pPr>
        <w:pStyle w:val="Heading2"/>
        <w:keepNext/>
        <w:spacing w:before="280" w:after="120"/>
      </w:pPr>
      <w:r>
        <w:rPr>
          <w:rFonts w:ascii="Arial" w:hAnsi="Arial"/>
          <w:b/>
          <w:color w:val="1565C0"/>
          <w:sz w:val="24"/>
        </w:rPr>
        <w:t>3.6 Explicit Analytical QSAR Mathematical Models</w:t>
      </w:r>
    </w:p>
    <w:p>
      <w:r>
        <w:t>Using the top AI-ranked descriptors on the real observed data, compact, transparent, and exportable Multiple Linear Regression (MLR) models were formulated. Model 1 is fit on the real isolated-drug Vina docking data. Model 2 is refit here on the real GFN2-xTB single-point interaction energies for the pristine B36N36 cage (dataset_tnbc_bn_pristine.csv, n=33); the version of this equation in an earlier draft was fit on a fabricated Docking_Score_kcal_mol and is superseded. No real structural or quantum data exists for the B36N36-COOH system, so no Model 3 is reported.</w:t>
      </w:r>
    </w:p>
    <w:p>
      <w:pPr>
        <w:spacing w:after="80"/>
        <w:ind w:left="576"/>
      </w:pPr>
      <w:r>
        <w:rPr>
          <w:b/>
          <w:color w:val="0D47A1"/>
        </w:rPr>
        <w:t>Model 1 (Isolated Therapeutics, real Vina, n=35):</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real GFN2-xTB ΔE_int,SP, n=33):</w:t>
        <w:br/>
      </w:r>
      <w:r>
        <w:rPr>
          <w:rFonts w:ascii="Courier New" w:hAnsi="Courier New"/>
          <w:sz w:val="19"/>
        </w:rPr>
        <w:t>Score_B36N36 = -16.8827 - 0.0044(MolWt) + 0.0014(MolMR) - 1.7479(E_HOMO) - 0.0118(ω)</w:t>
      </w:r>
    </w:p>
    <w:p>
      <w:pPr>
        <w:pStyle w:val="Heading1"/>
        <w:keepNext/>
        <w:spacing w:before="280" w:after="120"/>
      </w:pPr>
      <w:r>
        <w:rPr>
          <w:rFonts w:ascii="Arial" w:hAnsi="Arial"/>
          <w:b/>
          <w:color w:val="0D47A1"/>
          <w:sz w:val="28"/>
        </w:rPr>
        <w:t>4. Conclusions</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-3.9 to -10.2 kcal/mol, but self-redocking of the co-crystallized ligand failed to reproduce the native pose within 2 A, so these scores are used only as a relative ranking and not as a quantitative endpoint.</w:t>
      </w:r>
    </w:p>
    <w:p>
      <w:pPr>
        <w:spacing w:after="80"/>
        <w:ind w:left="432"/>
      </w:pPr>
      <w:r>
        <w:t>2. Real interaction energetics: GFN2-xTB single-point interaction energies of the 33 drugs on the pristine B36N36 cage average -2.8 kcal/mol (range -20.5 to +9.8 kcal/mol); a carboxylated B36N36-COOH derivative has no real structural or quantum data here and would require dedicated complex-geometry modeling.</w:t>
      </w:r>
    </w:p>
    <w:p>
      <w:pPr>
        <w:spacing w:after="80"/>
        <w:ind w:left="432"/>
      </w:pPr>
      <w:r>
        <w:t>3. Honest ML baseline: the leak-free nested 5x5 cross-validated RidgeCV surrogate is non-predictive on both real-data systems (Q2_CV = -0.036 isolated, -0.626 pristine B36N36; pooled -0.0016), and the descriptor rankings from the exploratory tree models are reported as qualitative only.</w:t>
      </w:r>
    </w:p>
    <w:p>
      <w:pPr>
        <w:spacing w:after="80"/>
        <w:ind w:left="432"/>
      </w:pPr>
      <w:r>
        <w:t>4. Applicability domain: Williams-leverage analysis places 33/35 and 31/33 compounds inside the domain for the two real-data systems (OECD Principle 3).</w:t>
      </w:r>
    </w:p>
    <w:p>
      <w:pPr>
        <w:spacing w:after="80"/>
        <w:ind w:left="432"/>
      </w:pPr>
      <w:r>
        <w:t>5. Outlook: inorganic B36N36 remains an attractive non-carbonaceous scaffold on solubility and biocompatibility grounds, but the present data do not establish a predictive structure-activity relationship, and functionalized derivatives and a validated model are left as future work.</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