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rPr>
        <w:t>Andrés Monreal Hernández, Ph.D.</w:t>
        <w:br/>
      </w:r>
      <w:r>
        <w:t>Universidad Estatal de Sonora</w:t>
        <w:br/>
        <w:t>Hermosillo, Sonora, Mexico</w:t>
        <w:br/>
        <w:t>Email: andres.monreal@ues.mx | ORCID: 0009-0009-1207-8597</w:t>
        <w:br/>
        <w:t>Date: August 30, 2026</w:t>
        <w:br/>
      </w:r>
    </w:p>
    <w:p>
      <w:pPr>
        <w:spacing w:after="240"/>
      </w:pPr>
      <w:r>
        <w:t>To: The Editor-in-Chief</w:t>
        <w:br/>
        <w:t>Beilstein Journal of Nanotechnology</w:t>
        <w:br/>
        <w:t>Beilstein-Institut, Frankfurt am Main, Germany</w:t>
        <w:br/>
      </w:r>
    </w:p>
    <w:p>
      <w:pPr>
        <w:spacing w:after="240"/>
      </w:pPr>
      <w:r>
        <w:rPr>
          <w:b/>
        </w:rPr>
        <w:t>Subject: Submission of Original Research Article for Peer Review</w:t>
      </w:r>
    </w:p>
    <w:p>
      <w:r>
        <w:t>Dear Editor-in-Chief,</w:t>
      </w:r>
    </w:p>
    <w:p>
      <w:r>
        <w:t>On behalf of my co-authors (Sara Lizbeth Franco Amaya, Carlos Ivanhoe Martínez Osorio, and myself), I am pleased to submit our original research manuscript titled:</w:t>
      </w:r>
    </w:p>
    <w:p>
      <w:pPr>
        <w:spacing w:after="200"/>
        <w:ind w:left="576"/>
      </w:pPr>
      <w:r>
        <w:rPr>
          <w:b/>
          <w:color w:val="0D47A1"/>
        </w:rPr>
        <w:t>“Explainable AI and Quantum-Guided QSAR/QSPR Modeling of Triple-Negative Breast Cancer Therapeutics Conjugated to Functionalized Boron Nitride Nanocages”</w:t>
      </w:r>
    </w:p>
    <w:p>
      <w:r>
        <w:t>for consideration for publication as a Full Research Article in the Beilstein Journal of Nanotechnology.</w:t>
      </w:r>
    </w:p>
    <w:p>
      <w:r>
        <w:t>Triple-Negative Breast Cancer (TNBC) represents one of the most therapeutically recalcitrant oncological diseases due to the absence of estrogen, progesterone, and HER2 receptors. While Poly(ADP-ribose) polymerase 1 (PARP1) synthetic lethality and cytotoxic therapies offer essential clinical interventions, their efficacy is severely hindered by off-target toxicities, rapid systemic clearance, and poor aqueous solubility.</w:t>
      </w:r>
    </w:p>
    <w:p>
      <w:r>
        <w:t>In this study, we present an integrated GFN2-xTB quantum-chemical, physical molecular docking (AutoDock Vina v1.2.7), and explainable QSAR/QSPR framework evaluating the pristine inorganic boron nitride nanocage B36N36 as a non-carbonaceous drug-delivery scaffold for 33 anti-TNBC therapeutics. A carboxylated B36N36-COOH derivative is discussed only as future work, since no real structural or quantum data for it exist in this study.</w:t>
      </w:r>
    </w:p>
    <w:p>
      <w:r>
        <w:rPr>
          <w:b/>
        </w:rPr>
        <w:t>Key points, all traceable to the deposited pipeline:</w:t>
      </w:r>
    </w:p>
    <w:p>
      <w:pPr>
        <w:spacing w:after="60"/>
        <w:ind w:left="432"/>
      </w:pPr>
      <w:r>
        <w:t>1. GFN2-xTB single-point interaction energies for all 33 therapeutics on the B36N36 cage were computed from the xtb pipeline; frontier-orbital and conceptual-DFT indices are taken directly from the output, not from an empirical formula.</w:t>
      </w:r>
    </w:p>
    <w:p>
      <w:pPr>
        <w:spacing w:after="60"/>
        <w:ind w:left="432"/>
      </w:pPr>
      <w:r>
        <w:t>2. Redocking against the human PARP1 crystal structure (PDB ID: 4UND) did NOT reproduce the native ligand pose (heavy-atom RMSD &gt; 4 Å); the reported Vina scores are therefore treated as exploratory and are not used as a quantitative endpoint.</w:t>
      </w:r>
    </w:p>
    <w:p>
      <w:pPr>
        <w:spacing w:after="60"/>
        <w:ind w:left="432"/>
      </w:pPr>
      <w:r>
        <w:t>3. The surrogate model was evaluated with a leak-free nested 5x5 cross-validation on the real interaction energies. Predictive performance is low (Q2_CV near zero); the model and its feature-importance ranking are presented as an exploratory, honest baseline rather than a validated predictor.</w:t>
      </w:r>
    </w:p>
    <w:p>
      <w:pPr>
        <w:spacing w:after="60"/>
        <w:ind w:left="432"/>
      </w:pPr>
      <w:r>
        <w:t>4. OECD Principle 3 applicability domain was assessed by Williams leverage on the real descriptor matrix (30/33 compounds inside the domain).</w:t>
      </w:r>
    </w:p>
    <w:p>
      <w:pPr>
        <w:spacing w:after="60"/>
        <w:ind w:left="432"/>
      </w:pPr>
      <w:r>
        <w:t>5. Fully automated open-source pipeline with the complete real dataset and 300 DPI figures (Zenodo 10.5281/zenodo.22187873).</w:t>
      </w:r>
    </w:p>
    <w:p>
      <w:r>
        <w:t>We confirm that this manuscript is original, has not been published previously, and is not currently under consideration for publication elsewhere. All authors have approved the final manuscript and declare no competing financial or non-financial interests.</w:t>
      </w:r>
    </w:p>
    <w:p>
      <w:r>
        <w:t>Thank you very much for your time, consideration, and editorial handling of our work.</w:t>
      </w:r>
    </w:p>
    <w:p>
      <w:pPr>
        <w:spacing w:before="240"/>
      </w:pPr>
      <w:r>
        <w:t>Sincerely,</w:t>
        <w:br/>
        <w:br/>
        <w:t>Andrés Monreal Hernández, Ph.D. (Corresponding Author)</w:t>
        <w:br/>
        <w:t>Universidad Estatal de Sonora, Mexico</w:t>
        <w:br/>
        <w:t>Email: andres.monreal@ues.mx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